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705" w:rsidRPr="000B3B57" w:rsidRDefault="00F50705" w:rsidP="00F50705">
      <w:pPr>
        <w:rPr>
          <w:rFonts w:cs="Times New Roman"/>
          <w:b/>
          <w:bCs/>
          <w:szCs w:val="24"/>
        </w:rPr>
      </w:pPr>
      <w:r w:rsidRPr="000B3B57">
        <w:rPr>
          <w:rFonts w:eastAsia="Times New Roman" w:cs="Times New Roman"/>
          <w:b/>
          <w:szCs w:val="24"/>
        </w:rPr>
        <w:t xml:space="preserve">Supreme Court Seminar – October Term 2026 </w:t>
      </w:r>
      <w:r w:rsidR="0027399A" w:rsidRPr="000B3B57">
        <w:rPr>
          <w:rFonts w:eastAsia="Times New Roman" w:cs="Times New Roman"/>
          <w:b/>
          <w:szCs w:val="24"/>
        </w:rPr>
        <w:t>cases for the long paper</w:t>
      </w:r>
      <w:r w:rsidRPr="000B3B57">
        <w:rPr>
          <w:rFonts w:eastAsia="Times New Roman" w:cs="Times New Roman"/>
          <w:b/>
          <w:szCs w:val="24"/>
        </w:rPr>
        <w:t>:</w:t>
      </w:r>
    </w:p>
    <w:p w:rsidR="00F50705" w:rsidRPr="000B3B57" w:rsidRDefault="00F50705" w:rsidP="00F50705">
      <w:pPr>
        <w:rPr>
          <w:rFonts w:cs="Times New Roman"/>
          <w:b/>
          <w:bCs/>
          <w:szCs w:val="24"/>
        </w:rPr>
      </w:pPr>
      <w:bookmarkStart w:id="0" w:name="_GoBack"/>
      <w:bookmarkEnd w:id="0"/>
    </w:p>
    <w:p w:rsidR="00F50705" w:rsidRPr="000B3B57" w:rsidRDefault="00F50705" w:rsidP="00F50705">
      <w:pPr>
        <w:rPr>
          <w:rFonts w:cs="Times New Roman"/>
          <w:b/>
          <w:bCs/>
          <w:szCs w:val="24"/>
          <w:u w:val="single"/>
        </w:rPr>
      </w:pPr>
      <w:r w:rsidRPr="000B3B57">
        <w:rPr>
          <w:rFonts w:cs="Times New Roman"/>
          <w:b/>
          <w:bCs/>
          <w:szCs w:val="24"/>
        </w:rPr>
        <w:t xml:space="preserve">No. 25-238   </w:t>
      </w:r>
      <w:proofErr w:type="spellStart"/>
      <w:r w:rsidRPr="000B3B57">
        <w:rPr>
          <w:rFonts w:cs="Times New Roman"/>
          <w:b/>
          <w:bCs/>
          <w:szCs w:val="24"/>
          <w:u w:val="single"/>
        </w:rPr>
        <w:t>Viramontes</w:t>
      </w:r>
      <w:proofErr w:type="spellEnd"/>
      <w:r w:rsidRPr="000B3B57">
        <w:rPr>
          <w:rFonts w:cs="Times New Roman"/>
          <w:b/>
          <w:bCs/>
          <w:szCs w:val="24"/>
          <w:u w:val="single"/>
        </w:rPr>
        <w:t xml:space="preserve"> v. Cook County</w:t>
      </w:r>
    </w:p>
    <w:p w:rsidR="003B45BC" w:rsidRPr="000B3B57" w:rsidRDefault="003B45BC" w:rsidP="003B45BC">
      <w:pPr>
        <w:ind w:left="720"/>
        <w:rPr>
          <w:rFonts w:cs="Times New Roman"/>
          <w:spacing w:val="-2"/>
          <w:szCs w:val="24"/>
          <w:shd w:val="clear" w:color="auto" w:fill="FFFFFF"/>
        </w:rPr>
      </w:pPr>
      <w:r w:rsidRPr="000B3B57">
        <w:rPr>
          <w:rFonts w:cs="Times New Roman"/>
          <w:spacing w:val="-2"/>
          <w:szCs w:val="24"/>
          <w:shd w:val="clear" w:color="auto" w:fill="FFFFFF"/>
        </w:rPr>
        <w:t>Question presented:  Whether the Second and 14th Amendments guarantee the right to possess AR-15 platform and similar semiautomatic rifles.</w:t>
      </w:r>
    </w:p>
    <w:p w:rsidR="003B45BC" w:rsidRPr="000B3B57" w:rsidRDefault="003B45BC" w:rsidP="003B45BC">
      <w:pPr>
        <w:ind w:left="720"/>
        <w:rPr>
          <w:rFonts w:cs="Times New Roman"/>
          <w:b/>
          <w:bCs/>
          <w:szCs w:val="24"/>
          <w:u w:val="single"/>
        </w:rPr>
      </w:pPr>
      <w:r w:rsidRPr="000B3B57">
        <w:rPr>
          <w:rFonts w:cs="Times New Roman"/>
          <w:spacing w:val="-2"/>
          <w:szCs w:val="24"/>
          <w:shd w:val="clear" w:color="auto" w:fill="FFFFFF"/>
        </w:rPr>
        <w:t>Argument 12/2/26</w:t>
      </w:r>
    </w:p>
    <w:p w:rsidR="002125D3" w:rsidRPr="000B3B57" w:rsidRDefault="002125D3">
      <w:pPr>
        <w:rPr>
          <w:rFonts w:cs="Times New Roman"/>
          <w:b/>
          <w:bCs/>
          <w:szCs w:val="24"/>
          <w:u w:val="single"/>
        </w:rPr>
      </w:pPr>
      <w:r w:rsidRPr="000B3B57">
        <w:rPr>
          <w:rFonts w:cs="Times New Roman"/>
          <w:b/>
          <w:bCs/>
          <w:szCs w:val="24"/>
        </w:rPr>
        <w:t xml:space="preserve">No. 25-246  </w:t>
      </w:r>
      <w:r w:rsidR="00F50705" w:rsidRPr="000B3B57">
        <w:rPr>
          <w:rFonts w:cs="Times New Roman"/>
          <w:b/>
          <w:bCs/>
          <w:szCs w:val="24"/>
        </w:rPr>
        <w:t xml:space="preserve"> </w:t>
      </w:r>
      <w:proofErr w:type="spellStart"/>
      <w:r w:rsidRPr="000B3B57">
        <w:rPr>
          <w:rFonts w:cs="Times New Roman"/>
          <w:b/>
          <w:bCs/>
          <w:szCs w:val="24"/>
          <w:u w:val="single"/>
        </w:rPr>
        <w:t>Jouppi</w:t>
      </w:r>
      <w:proofErr w:type="spellEnd"/>
      <w:r w:rsidRPr="000B3B57">
        <w:rPr>
          <w:rFonts w:cs="Times New Roman"/>
          <w:b/>
          <w:bCs/>
          <w:szCs w:val="24"/>
          <w:u w:val="single"/>
        </w:rPr>
        <w:t xml:space="preserve"> v. Alaska</w:t>
      </w:r>
    </w:p>
    <w:p w:rsidR="003B45BC" w:rsidRPr="000B3B57" w:rsidRDefault="0027399A" w:rsidP="0027399A">
      <w:pPr>
        <w:ind w:left="720"/>
        <w:rPr>
          <w:rFonts w:cs="Times New Roman"/>
          <w:spacing w:val="-2"/>
          <w:szCs w:val="24"/>
          <w:shd w:val="clear" w:color="auto" w:fill="FFFFFF"/>
        </w:rPr>
      </w:pPr>
      <w:r w:rsidRPr="000B3B57">
        <w:rPr>
          <w:rFonts w:cs="Times New Roman"/>
          <w:spacing w:val="-2"/>
          <w:szCs w:val="24"/>
          <w:shd w:val="clear" w:color="auto" w:fill="FFFFFF"/>
        </w:rPr>
        <w:t xml:space="preserve">Question presented: </w:t>
      </w:r>
      <w:r w:rsidR="003B45BC" w:rsidRPr="000B3B57">
        <w:rPr>
          <w:rFonts w:cs="Times New Roman"/>
          <w:spacing w:val="-2"/>
          <w:szCs w:val="24"/>
          <w:shd w:val="clear" w:color="auto" w:fill="FFFFFF"/>
        </w:rPr>
        <w:t>Whether, in determining whether a fine contravenes the excessive fines clause – which holds the amount of the fine “must bear some relationship to the gravity of the offense that it is designed to punish” – courts may consider the gravity of the underlying offense purely in the abstract or should consider the gravity of the specific defendant’s wrongdoing.</w:t>
      </w:r>
    </w:p>
    <w:p w:rsidR="0027399A" w:rsidRPr="000B3B57" w:rsidRDefault="0027399A" w:rsidP="0027399A">
      <w:pPr>
        <w:ind w:left="720"/>
        <w:rPr>
          <w:rFonts w:cs="Times New Roman"/>
          <w:b/>
          <w:bCs/>
          <w:szCs w:val="24"/>
          <w:u w:val="single"/>
        </w:rPr>
      </w:pPr>
      <w:r w:rsidRPr="000B3B57">
        <w:rPr>
          <w:rFonts w:cs="Times New Roman"/>
          <w:spacing w:val="-2"/>
          <w:szCs w:val="24"/>
          <w:shd w:val="clear" w:color="auto" w:fill="FFFFFF"/>
        </w:rPr>
        <w:t>Argument 12/1/26</w:t>
      </w:r>
    </w:p>
    <w:p w:rsidR="00F50705" w:rsidRPr="000B3B57" w:rsidRDefault="00F50705" w:rsidP="00F50705">
      <w:pPr>
        <w:rPr>
          <w:rFonts w:cs="Times New Roman"/>
          <w:b/>
          <w:bCs/>
          <w:szCs w:val="24"/>
          <w:u w:val="single"/>
        </w:rPr>
      </w:pPr>
      <w:r w:rsidRPr="000B3B57">
        <w:rPr>
          <w:rFonts w:cs="Times New Roman"/>
          <w:b/>
          <w:bCs/>
          <w:szCs w:val="24"/>
        </w:rPr>
        <w:t xml:space="preserve">No. 25-581   </w:t>
      </w:r>
      <w:r w:rsidRPr="000B3B57">
        <w:rPr>
          <w:rFonts w:cs="Times New Roman"/>
          <w:b/>
          <w:bCs/>
          <w:szCs w:val="24"/>
          <w:u w:val="single"/>
        </w:rPr>
        <w:t>St. Mary’s Catholic Parish v. Roy</w:t>
      </w:r>
    </w:p>
    <w:p w:rsidR="0027399A" w:rsidRPr="000B3B57" w:rsidRDefault="0027399A" w:rsidP="0027399A">
      <w:pPr>
        <w:ind w:left="720"/>
        <w:rPr>
          <w:rFonts w:cs="Times New Roman"/>
          <w:spacing w:val="-2"/>
          <w:szCs w:val="24"/>
          <w:shd w:val="clear" w:color="auto" w:fill="FFFFFF"/>
        </w:rPr>
      </w:pPr>
      <w:r w:rsidRPr="000B3B57">
        <w:rPr>
          <w:rFonts w:cs="Times New Roman"/>
          <w:spacing w:val="-2"/>
          <w:szCs w:val="24"/>
          <w:shd w:val="clear" w:color="auto" w:fill="FFFFFF"/>
        </w:rPr>
        <w:t>Questions presented: (1) Whether proving a lack of general applicability under [the Free Exercise Clause and] Employment Division v. Smith requires showing unfettered discretion or categorical exemptions for identical secular conduct; (2) whether Carson v. Makin displaces the rule of Employment Division v. Smith only when the government explicitly excludes religious people and institutions.</w:t>
      </w:r>
    </w:p>
    <w:p w:rsidR="0027399A" w:rsidRPr="000B3B57" w:rsidRDefault="0027399A" w:rsidP="0027399A">
      <w:pPr>
        <w:ind w:left="720"/>
        <w:rPr>
          <w:rFonts w:cs="Times New Roman"/>
          <w:b/>
          <w:bCs/>
          <w:szCs w:val="24"/>
          <w:u w:val="single"/>
        </w:rPr>
      </w:pPr>
      <w:r w:rsidRPr="000B3B57">
        <w:rPr>
          <w:rFonts w:cs="Times New Roman"/>
          <w:spacing w:val="-2"/>
          <w:szCs w:val="24"/>
          <w:shd w:val="clear" w:color="auto" w:fill="FFFFFF"/>
        </w:rPr>
        <w:t>Argument 11/3/26</w:t>
      </w:r>
    </w:p>
    <w:p w:rsidR="00F50705" w:rsidRPr="000B3B57" w:rsidRDefault="00F50705" w:rsidP="00F50705">
      <w:pPr>
        <w:rPr>
          <w:rFonts w:cs="Times New Roman"/>
          <w:b/>
          <w:bCs/>
          <w:szCs w:val="24"/>
          <w:u w:val="single"/>
        </w:rPr>
      </w:pPr>
      <w:r w:rsidRPr="000B3B57">
        <w:rPr>
          <w:rFonts w:cs="Times New Roman"/>
          <w:b/>
          <w:bCs/>
          <w:szCs w:val="24"/>
        </w:rPr>
        <w:t xml:space="preserve">No. 25-840   </w:t>
      </w:r>
      <w:r w:rsidRPr="000B3B57">
        <w:rPr>
          <w:rFonts w:cs="Times New Roman"/>
          <w:b/>
          <w:bCs/>
          <w:szCs w:val="24"/>
          <w:u w:val="single"/>
        </w:rPr>
        <w:t>International Partners for Ethical Care v. Ferguson</w:t>
      </w:r>
    </w:p>
    <w:p w:rsidR="003B45BC" w:rsidRPr="000B3B57" w:rsidRDefault="003B45BC" w:rsidP="003B45BC">
      <w:pPr>
        <w:ind w:left="720"/>
        <w:rPr>
          <w:rFonts w:cs="Times New Roman"/>
          <w:bCs/>
          <w:szCs w:val="24"/>
        </w:rPr>
      </w:pPr>
      <w:r w:rsidRPr="000B3B57">
        <w:rPr>
          <w:rFonts w:cs="Times New Roman"/>
          <w:bCs/>
          <w:szCs w:val="24"/>
        </w:rPr>
        <w:t xml:space="preserve">Question presented:  Whether parents have standing to challenge a law or policy that deliberately displaces their </w:t>
      </w:r>
      <w:proofErr w:type="spellStart"/>
      <w:r w:rsidRPr="000B3B57">
        <w:rPr>
          <w:rFonts w:cs="Times New Roman"/>
          <w:bCs/>
          <w:szCs w:val="24"/>
        </w:rPr>
        <w:t>decisionmaking</w:t>
      </w:r>
      <w:proofErr w:type="spellEnd"/>
      <w:r w:rsidRPr="000B3B57">
        <w:rPr>
          <w:rFonts w:cs="Times New Roman"/>
          <w:bCs/>
          <w:szCs w:val="24"/>
        </w:rPr>
        <w:t xml:space="preserve"> role as to “gender transitions” of their children, and in so doing creates present and likely future impediments to their ability to parent their children as they deem best for them.</w:t>
      </w:r>
    </w:p>
    <w:p w:rsidR="003B45BC" w:rsidRPr="000B3B57" w:rsidRDefault="003B45BC" w:rsidP="003B45BC">
      <w:pPr>
        <w:ind w:left="720"/>
        <w:rPr>
          <w:rFonts w:cs="Times New Roman"/>
          <w:b/>
          <w:bCs/>
          <w:szCs w:val="24"/>
          <w:u w:val="single"/>
        </w:rPr>
      </w:pPr>
      <w:r w:rsidRPr="000B3B57">
        <w:rPr>
          <w:rFonts w:cs="Times New Roman"/>
          <w:bCs/>
          <w:szCs w:val="24"/>
        </w:rPr>
        <w:t>Argument 12/7/26</w:t>
      </w:r>
    </w:p>
    <w:p w:rsidR="002125D3" w:rsidRPr="000B3B57" w:rsidRDefault="002125D3">
      <w:pPr>
        <w:rPr>
          <w:rFonts w:cs="Times New Roman"/>
          <w:b/>
          <w:bCs/>
          <w:szCs w:val="24"/>
          <w:u w:val="single"/>
        </w:rPr>
      </w:pPr>
      <w:r w:rsidRPr="000B3B57">
        <w:rPr>
          <w:rFonts w:cs="Times New Roman"/>
          <w:b/>
          <w:bCs/>
          <w:szCs w:val="24"/>
        </w:rPr>
        <w:t xml:space="preserve">No. 25-966  </w:t>
      </w:r>
      <w:r w:rsidR="00F50705" w:rsidRPr="000B3B57">
        <w:rPr>
          <w:rFonts w:cs="Times New Roman"/>
          <w:b/>
          <w:bCs/>
          <w:szCs w:val="24"/>
        </w:rPr>
        <w:t xml:space="preserve"> </w:t>
      </w:r>
      <w:r w:rsidRPr="000B3B57">
        <w:rPr>
          <w:rFonts w:cs="Times New Roman"/>
          <w:b/>
          <w:bCs/>
          <w:szCs w:val="24"/>
          <w:u w:val="single"/>
        </w:rPr>
        <w:t>Dept. of Labor v. Sun Valley Orchards</w:t>
      </w:r>
    </w:p>
    <w:p w:rsidR="0027399A" w:rsidRPr="000B3B57" w:rsidRDefault="0027399A" w:rsidP="0027399A">
      <w:pPr>
        <w:ind w:left="720"/>
        <w:rPr>
          <w:rFonts w:cs="Times New Roman"/>
          <w:spacing w:val="-2"/>
          <w:szCs w:val="24"/>
          <w:shd w:val="clear" w:color="auto" w:fill="FFFFFF"/>
        </w:rPr>
      </w:pPr>
      <w:r w:rsidRPr="000B3B57">
        <w:rPr>
          <w:rFonts w:cs="Times New Roman"/>
          <w:spacing w:val="-2"/>
          <w:szCs w:val="24"/>
          <w:shd w:val="clear" w:color="auto" w:fill="FFFFFF"/>
        </w:rPr>
        <w:t xml:space="preserve">Questions presented: (1) Whether Article III of the Constitution precludes the Department of Labor from adjudicating proceedings to collect monetary remedies from employers who have allegedly violated the terms and conditions of employment of H-2A workers and domestic workers in corresponding employment; and (2) whether 8 U.S.C. §1188(g)(2) </w:t>
      </w:r>
      <w:r w:rsidRPr="000B3B57">
        <w:rPr>
          <w:rFonts w:cs="Times New Roman"/>
          <w:spacing w:val="-2"/>
          <w:szCs w:val="24"/>
          <w:shd w:val="clear" w:color="auto" w:fill="FFFFFF"/>
        </w:rPr>
        <w:lastRenderedPageBreak/>
        <w:t>authorizes the Department of Labor to adjudicate proceedings to collect monetary remedies from employers who have allegedly violated the terms and conditions of employment of H-2A workers and domestic workers in corresponding employment.</w:t>
      </w:r>
    </w:p>
    <w:p w:rsidR="0027399A" w:rsidRPr="000B3B57" w:rsidRDefault="0027399A" w:rsidP="0027399A">
      <w:pPr>
        <w:ind w:left="720"/>
        <w:rPr>
          <w:rFonts w:cs="Times New Roman"/>
          <w:b/>
          <w:bCs/>
          <w:szCs w:val="24"/>
          <w:u w:val="single"/>
        </w:rPr>
      </w:pPr>
      <w:r w:rsidRPr="000B3B57">
        <w:rPr>
          <w:rFonts w:cs="Times New Roman"/>
          <w:spacing w:val="-2"/>
          <w:szCs w:val="24"/>
          <w:shd w:val="clear" w:color="auto" w:fill="FFFFFF"/>
        </w:rPr>
        <w:t>Argument 11/10/26</w:t>
      </w:r>
    </w:p>
    <w:p w:rsidR="00F50705" w:rsidRPr="000B3B57" w:rsidRDefault="00F50705" w:rsidP="00F50705">
      <w:pPr>
        <w:rPr>
          <w:rFonts w:cs="Times New Roman"/>
          <w:b/>
          <w:bCs/>
          <w:szCs w:val="24"/>
          <w:u w:val="single"/>
        </w:rPr>
      </w:pPr>
      <w:r w:rsidRPr="000B3B57">
        <w:rPr>
          <w:rFonts w:cs="Times New Roman"/>
          <w:b/>
          <w:bCs/>
          <w:szCs w:val="24"/>
        </w:rPr>
        <w:t xml:space="preserve">No. 24-1016 </w:t>
      </w:r>
      <w:proofErr w:type="spellStart"/>
      <w:r w:rsidRPr="000B3B57">
        <w:rPr>
          <w:rFonts w:cs="Times New Roman"/>
          <w:b/>
          <w:bCs/>
          <w:szCs w:val="24"/>
          <w:u w:val="single"/>
        </w:rPr>
        <w:t>Riseandshine</w:t>
      </w:r>
      <w:proofErr w:type="spellEnd"/>
      <w:r w:rsidRPr="000B3B57">
        <w:rPr>
          <w:rFonts w:cs="Times New Roman"/>
          <w:b/>
          <w:bCs/>
          <w:szCs w:val="24"/>
          <w:u w:val="single"/>
        </w:rPr>
        <w:t xml:space="preserve"> Corp. v. PepsiCo., Inc.</w:t>
      </w:r>
    </w:p>
    <w:p w:rsidR="003B45BC" w:rsidRPr="000B3B57" w:rsidRDefault="003B45BC" w:rsidP="003B45BC">
      <w:pPr>
        <w:ind w:left="720"/>
        <w:rPr>
          <w:rFonts w:cs="Times New Roman"/>
          <w:szCs w:val="24"/>
        </w:rPr>
      </w:pPr>
      <w:r w:rsidRPr="000B3B57">
        <w:rPr>
          <w:rFonts w:cs="Times New Roman"/>
          <w:bCs/>
          <w:szCs w:val="24"/>
        </w:rPr>
        <w:t xml:space="preserve">Question presented:  </w:t>
      </w:r>
      <w:r w:rsidRPr="000B3B57">
        <w:rPr>
          <w:rFonts w:cs="Times New Roman"/>
          <w:szCs w:val="24"/>
        </w:rPr>
        <w:t>Whether trademark strength is a question of fact in a likelihood-of-confusion analysis under 15 U.S.C. § 1114.</w:t>
      </w:r>
    </w:p>
    <w:p w:rsidR="003B45BC" w:rsidRPr="000B3B57" w:rsidRDefault="003B45BC" w:rsidP="003B45BC">
      <w:pPr>
        <w:ind w:left="720"/>
        <w:rPr>
          <w:rFonts w:cs="Times New Roman"/>
          <w:szCs w:val="24"/>
        </w:rPr>
      </w:pPr>
      <w:r w:rsidRPr="000B3B57">
        <w:rPr>
          <w:rFonts w:cs="Times New Roman"/>
          <w:szCs w:val="24"/>
        </w:rPr>
        <w:t>(argument not yet scheduled</w:t>
      </w:r>
      <w:r w:rsidR="0027399A" w:rsidRPr="000B3B57">
        <w:rPr>
          <w:rFonts w:cs="Times New Roman"/>
          <w:szCs w:val="24"/>
        </w:rPr>
        <w:t>, presumably in January 2027</w:t>
      </w:r>
      <w:r w:rsidRPr="000B3B57">
        <w:rPr>
          <w:rFonts w:cs="Times New Roman"/>
          <w:szCs w:val="24"/>
        </w:rPr>
        <w:t>)</w:t>
      </w:r>
    </w:p>
    <w:p w:rsidR="00F50705" w:rsidRPr="000B3B57" w:rsidRDefault="00F50705" w:rsidP="00F50705">
      <w:pPr>
        <w:rPr>
          <w:rFonts w:cs="Times New Roman"/>
          <w:b/>
          <w:bCs/>
          <w:szCs w:val="24"/>
          <w:u w:val="single"/>
        </w:rPr>
      </w:pPr>
      <w:r w:rsidRPr="000B3B57">
        <w:rPr>
          <w:rFonts w:cs="Times New Roman"/>
          <w:b/>
          <w:bCs/>
          <w:szCs w:val="24"/>
        </w:rPr>
        <w:t xml:space="preserve">No. 25-1017 </w:t>
      </w:r>
      <w:r w:rsidR="003B45BC" w:rsidRPr="000B3B57">
        <w:rPr>
          <w:rFonts w:cs="Times New Roman"/>
          <w:b/>
          <w:bCs/>
          <w:szCs w:val="24"/>
          <w:u w:val="single"/>
        </w:rPr>
        <w:t>Republican National Committee</w:t>
      </w:r>
      <w:r w:rsidRPr="000B3B57">
        <w:rPr>
          <w:rFonts w:cs="Times New Roman"/>
          <w:b/>
          <w:bCs/>
          <w:szCs w:val="24"/>
          <w:u w:val="single"/>
        </w:rPr>
        <w:t xml:space="preserve"> v. </w:t>
      </w:r>
      <w:proofErr w:type="spellStart"/>
      <w:r w:rsidRPr="000B3B57">
        <w:rPr>
          <w:rFonts w:cs="Times New Roman"/>
          <w:b/>
          <w:bCs/>
          <w:szCs w:val="24"/>
          <w:u w:val="single"/>
        </w:rPr>
        <w:t>Mi</w:t>
      </w:r>
      <w:proofErr w:type="spellEnd"/>
      <w:r w:rsidRPr="000B3B57">
        <w:rPr>
          <w:rFonts w:cs="Times New Roman"/>
          <w:b/>
          <w:bCs/>
          <w:szCs w:val="24"/>
          <w:u w:val="single"/>
        </w:rPr>
        <w:t xml:space="preserve"> </w:t>
      </w:r>
      <w:proofErr w:type="spellStart"/>
      <w:r w:rsidRPr="000B3B57">
        <w:rPr>
          <w:rFonts w:cs="Times New Roman"/>
          <w:b/>
          <w:bCs/>
          <w:szCs w:val="24"/>
          <w:u w:val="single"/>
        </w:rPr>
        <w:t>Familia</w:t>
      </w:r>
      <w:proofErr w:type="spellEnd"/>
      <w:r w:rsidRPr="000B3B57">
        <w:rPr>
          <w:rFonts w:cs="Times New Roman"/>
          <w:b/>
          <w:bCs/>
          <w:szCs w:val="24"/>
          <w:u w:val="single"/>
        </w:rPr>
        <w:t xml:space="preserve"> </w:t>
      </w:r>
      <w:proofErr w:type="spellStart"/>
      <w:r w:rsidRPr="000B3B57">
        <w:rPr>
          <w:rFonts w:cs="Times New Roman"/>
          <w:b/>
          <w:bCs/>
          <w:szCs w:val="24"/>
          <w:u w:val="single"/>
        </w:rPr>
        <w:t>Vota</w:t>
      </w:r>
      <w:proofErr w:type="spellEnd"/>
    </w:p>
    <w:p w:rsidR="003B45BC" w:rsidRPr="000B3B57" w:rsidRDefault="0027399A" w:rsidP="003B45BC">
      <w:pPr>
        <w:ind w:left="720"/>
        <w:rPr>
          <w:rFonts w:cs="Times New Roman"/>
          <w:bCs/>
          <w:szCs w:val="24"/>
        </w:rPr>
      </w:pPr>
      <w:r w:rsidRPr="000B3B57">
        <w:rPr>
          <w:rFonts w:cs="Times New Roman"/>
          <w:bCs/>
          <w:szCs w:val="24"/>
        </w:rPr>
        <w:t xml:space="preserve">Questions presented: </w:t>
      </w:r>
      <w:r w:rsidR="003B45BC" w:rsidRPr="000B3B57">
        <w:rPr>
          <w:rFonts w:cs="Times New Roman"/>
          <w:bCs/>
          <w:szCs w:val="24"/>
        </w:rPr>
        <w:t>(1) Whether the National Voter Registration Act or a federal consent decree prohibits Arizona from requiring voter-registration applicants to produce “satisfactory evidence” of U.S. citizenship when registering with a state registration form; and (2) whether the NVRA prohibits Arizona from implementing a program within 90 days of a federal election to cancel the registrations of voters who are not U.S. citizens.</w:t>
      </w:r>
    </w:p>
    <w:p w:rsidR="003B45BC" w:rsidRPr="000B3B57" w:rsidRDefault="003B45BC" w:rsidP="003B45BC">
      <w:pPr>
        <w:ind w:left="720"/>
        <w:rPr>
          <w:rFonts w:cs="Times New Roman"/>
          <w:bCs/>
          <w:szCs w:val="24"/>
        </w:rPr>
      </w:pPr>
      <w:r w:rsidRPr="000B3B57">
        <w:rPr>
          <w:rFonts w:cs="Times New Roman"/>
          <w:bCs/>
          <w:szCs w:val="24"/>
        </w:rPr>
        <w:t>Argument 12/8/26</w:t>
      </w:r>
    </w:p>
    <w:p w:rsidR="002125D3" w:rsidRPr="000B3B57" w:rsidRDefault="002125D3">
      <w:pPr>
        <w:rPr>
          <w:rFonts w:cs="Times New Roman"/>
          <w:b/>
          <w:bCs/>
          <w:szCs w:val="24"/>
          <w:u w:val="single"/>
        </w:rPr>
      </w:pPr>
      <w:r w:rsidRPr="000B3B57">
        <w:rPr>
          <w:rFonts w:cs="Times New Roman"/>
          <w:b/>
          <w:bCs/>
          <w:szCs w:val="24"/>
        </w:rPr>
        <w:t xml:space="preserve">No. 25-6623 </w:t>
      </w:r>
      <w:r w:rsidRPr="000B3B57">
        <w:rPr>
          <w:rFonts w:cs="Times New Roman"/>
          <w:b/>
          <w:bCs/>
          <w:szCs w:val="24"/>
          <w:u w:val="single"/>
        </w:rPr>
        <w:t>Kian v. Florida</w:t>
      </w:r>
    </w:p>
    <w:p w:rsidR="00F50705" w:rsidRPr="000B3B57" w:rsidRDefault="003B45BC" w:rsidP="003B45BC">
      <w:pPr>
        <w:ind w:left="720"/>
        <w:rPr>
          <w:rFonts w:cs="Times New Roman"/>
          <w:szCs w:val="24"/>
        </w:rPr>
      </w:pPr>
      <w:r w:rsidRPr="000B3B57">
        <w:rPr>
          <w:rFonts w:cs="Times New Roman"/>
          <w:szCs w:val="24"/>
        </w:rPr>
        <w:t>Question presented: Whether the petitioner was deprived of his right, under the Sixth and 14th Amendments, to a trial by a 12-person jury when the defendant is charged with a serious felony.</w:t>
      </w:r>
    </w:p>
    <w:p w:rsidR="003B45BC" w:rsidRPr="000B3B57" w:rsidRDefault="003B45BC" w:rsidP="003B45BC">
      <w:pPr>
        <w:ind w:left="720"/>
        <w:rPr>
          <w:rFonts w:cs="Times New Roman"/>
          <w:szCs w:val="24"/>
        </w:rPr>
      </w:pPr>
      <w:r w:rsidRPr="000B3B57">
        <w:rPr>
          <w:rFonts w:cs="Times New Roman"/>
          <w:szCs w:val="24"/>
        </w:rPr>
        <w:t>(argument not yet scheduled</w:t>
      </w:r>
      <w:r w:rsidR="0027399A" w:rsidRPr="000B3B57">
        <w:rPr>
          <w:rFonts w:cs="Times New Roman"/>
          <w:szCs w:val="24"/>
        </w:rPr>
        <w:t>, presumably in January 2027</w:t>
      </w:r>
      <w:r w:rsidRPr="000B3B57">
        <w:rPr>
          <w:rFonts w:cs="Times New Roman"/>
          <w:szCs w:val="24"/>
        </w:rPr>
        <w:t>)</w:t>
      </w:r>
    </w:p>
    <w:p w:rsidR="003B45BC" w:rsidRDefault="003B45BC" w:rsidP="003B45BC"/>
    <w:sectPr w:rsidR="003B4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D3"/>
    <w:rsid w:val="000B3B57"/>
    <w:rsid w:val="002125D3"/>
    <w:rsid w:val="0027399A"/>
    <w:rsid w:val="003B45BC"/>
    <w:rsid w:val="00B56B90"/>
    <w:rsid w:val="00F47ED9"/>
    <w:rsid w:val="00F50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13709">
      <w:bodyDiv w:val="1"/>
      <w:marLeft w:val="0"/>
      <w:marRight w:val="0"/>
      <w:marTop w:val="0"/>
      <w:marBottom w:val="0"/>
      <w:divBdr>
        <w:top w:val="none" w:sz="0" w:space="0" w:color="auto"/>
        <w:left w:val="none" w:sz="0" w:space="0" w:color="auto"/>
        <w:bottom w:val="none" w:sz="0" w:space="0" w:color="auto"/>
        <w:right w:val="none" w:sz="0" w:space="0" w:color="auto"/>
      </w:divBdr>
    </w:div>
    <w:div w:id="20742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mramsey</dc:creator>
  <cp:lastModifiedBy>mramsey</cp:lastModifiedBy>
  <cp:revision>3</cp:revision>
  <dcterms:created xsi:type="dcterms:W3CDTF">2026-09-13T00:14:00Z</dcterms:created>
  <dcterms:modified xsi:type="dcterms:W3CDTF">2026-09-14T15:28:00Z</dcterms:modified>
</cp:coreProperties>
</file>