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994" w:rsidRDefault="00DE7A4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INTERNATIONAL CIVIL LITIGATION</w:t>
      </w:r>
    </w:p>
    <w:p w:rsidR="00AF6994" w:rsidRDefault="00AF6994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AF6994" w:rsidRDefault="00E71284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AF6994" w:rsidRDefault="00AF6994">
      <w:pPr>
        <w:jc w:val="center"/>
        <w:rPr>
          <w:b/>
          <w:bCs/>
        </w:rPr>
      </w:pPr>
    </w:p>
    <w:p w:rsidR="00D15CDB" w:rsidRDefault="00D15CDB">
      <w:pPr>
        <w:jc w:val="center"/>
        <w:rPr>
          <w:b/>
          <w:bCs/>
        </w:rPr>
      </w:pPr>
      <w:r>
        <w:rPr>
          <w:b/>
          <w:bCs/>
        </w:rPr>
        <w:t>Reading List</w:t>
      </w:r>
    </w:p>
    <w:p w:rsidR="00AF6994" w:rsidRDefault="001B331C">
      <w:pPr>
        <w:jc w:val="center"/>
        <w:rPr>
          <w:b/>
          <w:bCs/>
        </w:rPr>
      </w:pPr>
      <w:r>
        <w:rPr>
          <w:b/>
          <w:bCs/>
        </w:rPr>
        <w:t xml:space="preserve">Part </w:t>
      </w:r>
      <w:r w:rsidR="000D560F">
        <w:rPr>
          <w:b/>
          <w:bCs/>
        </w:rPr>
        <w:t>5</w:t>
      </w:r>
      <w:r w:rsidR="00AF6994">
        <w:rPr>
          <w:b/>
          <w:bCs/>
        </w:rPr>
        <w:t xml:space="preserve"> </w:t>
      </w:r>
      <w:r w:rsidR="003877C3">
        <w:rPr>
          <w:b/>
          <w:bCs/>
        </w:rPr>
        <w:t>–</w:t>
      </w:r>
      <w:r w:rsidR="009D2BBE">
        <w:rPr>
          <w:b/>
          <w:bCs/>
        </w:rPr>
        <w:t xml:space="preserve"> </w:t>
      </w:r>
      <w:r w:rsidR="0081531C">
        <w:rPr>
          <w:b/>
          <w:bCs/>
        </w:rPr>
        <w:t>Treaties and Customary International Law</w:t>
      </w:r>
    </w:p>
    <w:p w:rsidR="0084502E" w:rsidRDefault="0084502E" w:rsidP="0084502E">
      <w:pPr>
        <w:jc w:val="center"/>
        <w:rPr>
          <w:b/>
          <w:bCs/>
        </w:rPr>
      </w:pPr>
      <w:r>
        <w:rPr>
          <w:b/>
          <w:bCs/>
        </w:rPr>
        <w:t>____________________</w:t>
      </w:r>
    </w:p>
    <w:p w:rsidR="0084502E" w:rsidRDefault="0084502E" w:rsidP="0084502E">
      <w:pPr>
        <w:jc w:val="center"/>
        <w:rPr>
          <w:b/>
          <w:bCs/>
        </w:rPr>
      </w:pPr>
    </w:p>
    <w:p w:rsidR="000D560F" w:rsidRPr="00A210D0" w:rsidRDefault="000D560F" w:rsidP="000D560F">
      <w:r w:rsidRPr="003212D1">
        <w:rPr>
          <w:bCs/>
        </w:rPr>
        <w:t>[</w:t>
      </w: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r>
        <w:rPr>
          <w:bCs/>
        </w:rPr>
        <w:t xml:space="preserve">Childress, Ramsey &amp; </w:t>
      </w:r>
      <w:proofErr w:type="spellStart"/>
      <w:r>
        <w:rPr>
          <w:bCs/>
        </w:rPr>
        <w:t>Whytock</w:t>
      </w:r>
      <w:proofErr w:type="spellEnd"/>
      <w:r w:rsidRPr="00801A22">
        <w:rPr>
          <w:bCs/>
        </w:rPr>
        <w:t xml:space="preserve">, </w:t>
      </w:r>
      <w:r>
        <w:rPr>
          <w:bCs/>
          <w:i/>
        </w:rPr>
        <w:t>Transnational Law and Practice</w:t>
      </w:r>
      <w:r w:rsidRPr="00801A22">
        <w:rPr>
          <w:bCs/>
        </w:rPr>
        <w:t xml:space="preserve"> </w:t>
      </w:r>
      <w:r>
        <w:rPr>
          <w:bCs/>
        </w:rPr>
        <w:t xml:space="preserve">(2d ed., Aspen, 2021)) or if designated as “in the supplement” they refer to the </w:t>
      </w:r>
      <w:proofErr w:type="gramStart"/>
      <w:r>
        <w:rPr>
          <w:bCs/>
        </w:rPr>
        <w:t>Fall</w:t>
      </w:r>
      <w:proofErr w:type="gramEnd"/>
      <w:r>
        <w:rPr>
          <w:bCs/>
        </w:rPr>
        <w:t xml:space="preserve"> 202</w:t>
      </w:r>
      <w:r w:rsidR="00E71284">
        <w:rPr>
          <w:bCs/>
        </w:rPr>
        <w:t>4</w:t>
      </w:r>
      <w:r>
        <w:rPr>
          <w:bCs/>
        </w:rPr>
        <w:t xml:space="preserve"> Supplement to the casebook, available for download at </w:t>
      </w:r>
      <w:hyperlink r:id="rId8" w:history="1">
        <w:r w:rsidRPr="00600C29">
          <w:rPr>
            <w:rStyle w:val="Hyperlink"/>
          </w:rPr>
          <w:t>https://papers.ssrn.com/sol3/papers.cfm?abstract_id=4178684</w:t>
        </w:r>
      </w:hyperlink>
      <w:r>
        <w:t>.]</w:t>
      </w:r>
    </w:p>
    <w:p w:rsidR="00721D18" w:rsidRDefault="00721D18" w:rsidP="0084502E">
      <w:pPr>
        <w:rPr>
          <w:bCs/>
        </w:rPr>
      </w:pPr>
    </w:p>
    <w:p w:rsidR="00776869" w:rsidRDefault="00776869">
      <w:pPr>
        <w:rPr>
          <w:b/>
          <w:bCs/>
        </w:rPr>
      </w:pPr>
    </w:p>
    <w:p w:rsidR="00AF6994" w:rsidRDefault="00776869">
      <w:r>
        <w:t>I.</w:t>
      </w:r>
      <w:r>
        <w:tab/>
      </w:r>
      <w:r w:rsidR="0081531C">
        <w:t>Treaties in U.S. Law</w:t>
      </w:r>
    </w:p>
    <w:p w:rsidR="00C34D31" w:rsidRDefault="00C34D31"/>
    <w:p w:rsidR="000D560F" w:rsidRDefault="000D560F" w:rsidP="005A62F0">
      <w:pPr>
        <w:numPr>
          <w:ilvl w:val="0"/>
          <w:numId w:val="3"/>
        </w:numPr>
      </w:pPr>
      <w:r>
        <w:t>Introduction to international law: pp. 149-169</w:t>
      </w:r>
    </w:p>
    <w:p w:rsidR="000D560F" w:rsidRDefault="000D560F" w:rsidP="005A62F0">
      <w:pPr>
        <w:numPr>
          <w:ilvl w:val="0"/>
          <w:numId w:val="3"/>
        </w:numPr>
      </w:pPr>
      <w:r>
        <w:t>Introduction to treaties and other international agreements: pp. 169-177</w:t>
      </w:r>
    </w:p>
    <w:p w:rsidR="005A62F0" w:rsidRDefault="00F0745B" w:rsidP="005A62F0">
      <w:pPr>
        <w:numPr>
          <w:ilvl w:val="0"/>
          <w:numId w:val="3"/>
        </w:numPr>
      </w:pPr>
      <w:r>
        <w:t>Self-execution and non-self-execution:  pp. 1</w:t>
      </w:r>
      <w:r w:rsidR="000D560F">
        <w:t>77-</w:t>
      </w:r>
      <w:r>
        <w:t>1</w:t>
      </w:r>
      <w:r w:rsidR="000D560F">
        <w:t>9</w:t>
      </w:r>
      <w:r>
        <w:t xml:space="preserve">3, esp. </w:t>
      </w:r>
      <w:r w:rsidRPr="00F0745B">
        <w:rPr>
          <w:i/>
        </w:rPr>
        <w:t>Medellin v. Texas</w:t>
      </w:r>
      <w:r>
        <w:t>.</w:t>
      </w:r>
    </w:p>
    <w:p w:rsidR="005A62F0" w:rsidRDefault="00F0745B" w:rsidP="001B331C">
      <w:pPr>
        <w:numPr>
          <w:ilvl w:val="0"/>
          <w:numId w:val="3"/>
        </w:numPr>
      </w:pPr>
      <w:r>
        <w:t>Treat</w:t>
      </w:r>
      <w:r w:rsidR="000D560F">
        <w:t>ies and causes of action: pp. 19</w:t>
      </w:r>
      <w:r>
        <w:t>3-19</w:t>
      </w:r>
      <w:r w:rsidR="000D560F">
        <w:t>9</w:t>
      </w:r>
      <w:r>
        <w:t xml:space="preserve">, esp. </w:t>
      </w:r>
      <w:r w:rsidRPr="00F0745B">
        <w:rPr>
          <w:i/>
        </w:rPr>
        <w:t>McKesson v. Iran</w:t>
      </w:r>
      <w:r>
        <w:t>.</w:t>
      </w:r>
      <w:r w:rsidR="00145F42">
        <w:t xml:space="preserve"> </w:t>
      </w:r>
    </w:p>
    <w:p w:rsidR="001B331C" w:rsidRDefault="00F0745B" w:rsidP="001B331C">
      <w:pPr>
        <w:numPr>
          <w:ilvl w:val="0"/>
          <w:numId w:val="3"/>
        </w:numPr>
      </w:pPr>
      <w:r>
        <w:t>Treaties and statutes: pp. 200</w:t>
      </w:r>
      <w:r w:rsidR="000D560F">
        <w:t>-210</w:t>
      </w:r>
      <w:r>
        <w:t xml:space="preserve">, esp. </w:t>
      </w:r>
      <w:r w:rsidRPr="00F0745B">
        <w:rPr>
          <w:i/>
        </w:rPr>
        <w:t>Fund for Animals</w:t>
      </w:r>
    </w:p>
    <w:p w:rsidR="000D560F" w:rsidRDefault="000D560F" w:rsidP="001B331C">
      <w:pPr>
        <w:numPr>
          <w:ilvl w:val="0"/>
          <w:numId w:val="3"/>
        </w:numPr>
      </w:pPr>
      <w:r>
        <w:t>Executive agreements: pp. 210-219, esp. Notes on pp. 218-219</w:t>
      </w:r>
    </w:p>
    <w:p w:rsidR="000D560F" w:rsidRDefault="000D560F" w:rsidP="001B331C">
      <w:pPr>
        <w:numPr>
          <w:ilvl w:val="0"/>
          <w:numId w:val="3"/>
        </w:numPr>
      </w:pPr>
      <w:r>
        <w:t>Treaty interpretation: pp. 235-246</w:t>
      </w:r>
      <w:r w:rsidR="000F7C75">
        <w:t xml:space="preserve">, plus note on </w:t>
      </w:r>
      <w:r w:rsidR="00E71284">
        <w:t>p. 9</w:t>
      </w:r>
      <w:r w:rsidR="000F7C75">
        <w:t xml:space="preserve"> </w:t>
      </w:r>
      <w:r w:rsidR="00E6325F">
        <w:t>in</w:t>
      </w:r>
      <w:r w:rsidR="000F7C75">
        <w:t xml:space="preserve"> the Supplement on </w:t>
      </w:r>
      <w:r w:rsidR="000F7C75" w:rsidRPr="00A072A6">
        <w:rPr>
          <w:bCs/>
          <w:i/>
        </w:rPr>
        <w:t xml:space="preserve">Golan v. </w:t>
      </w:r>
      <w:proofErr w:type="spellStart"/>
      <w:r w:rsidR="000F7C75" w:rsidRPr="00A072A6">
        <w:rPr>
          <w:bCs/>
          <w:i/>
        </w:rPr>
        <w:t>Saada</w:t>
      </w:r>
      <w:proofErr w:type="spellEnd"/>
    </w:p>
    <w:p w:rsidR="005A62F0" w:rsidRPr="005A62F0" w:rsidRDefault="005A62F0" w:rsidP="009F18D7">
      <w:pPr>
        <w:ind w:left="1440" w:hanging="720"/>
      </w:pPr>
    </w:p>
    <w:p w:rsidR="00AF6994" w:rsidRDefault="00AF6994">
      <w:r>
        <w:t>II.</w:t>
      </w:r>
      <w:r>
        <w:tab/>
      </w:r>
      <w:r w:rsidR="00F0745B">
        <w:t>Customary International Law in U.S. Law</w:t>
      </w:r>
    </w:p>
    <w:p w:rsidR="00AF6994" w:rsidRDefault="00AF6994"/>
    <w:p w:rsidR="009D69E8" w:rsidRDefault="00F0745B" w:rsidP="009D69E8">
      <w:pPr>
        <w:numPr>
          <w:ilvl w:val="0"/>
          <w:numId w:val="4"/>
        </w:numPr>
        <w:ind w:left="1440" w:hanging="720"/>
      </w:pPr>
      <w:r>
        <w:t>The Alien</w:t>
      </w:r>
      <w:r w:rsidR="000D560F">
        <w:t xml:space="preserve"> Tort Statute, Phase I:  pp. 254</w:t>
      </w:r>
      <w:r>
        <w:t>-</w:t>
      </w:r>
      <w:r w:rsidR="00721D18">
        <w:t>2</w:t>
      </w:r>
      <w:r w:rsidR="000D560F">
        <w:t>70</w:t>
      </w:r>
      <w:r w:rsidR="00721D18">
        <w:t xml:space="preserve"> (</w:t>
      </w:r>
      <w:proofErr w:type="spellStart"/>
      <w:r w:rsidR="00721D18" w:rsidRPr="00721D18">
        <w:rPr>
          <w:i/>
        </w:rPr>
        <w:t>Filartiga</w:t>
      </w:r>
      <w:proofErr w:type="spellEnd"/>
      <w:r w:rsidR="00721D18">
        <w:t xml:space="preserve"> and </w:t>
      </w:r>
      <w:r w:rsidR="00721D18" w:rsidRPr="00721D18">
        <w:rPr>
          <w:i/>
        </w:rPr>
        <w:t>Sosa</w:t>
      </w:r>
      <w:r w:rsidR="00721D18">
        <w:t>)</w:t>
      </w:r>
    </w:p>
    <w:p w:rsidR="00962238" w:rsidRDefault="00721D18" w:rsidP="009D69E8">
      <w:pPr>
        <w:numPr>
          <w:ilvl w:val="0"/>
          <w:numId w:val="4"/>
        </w:numPr>
        <w:ind w:left="1440" w:hanging="720"/>
      </w:pPr>
      <w:r>
        <w:t>The Alien Tort Statute, Phase II: pp. 27</w:t>
      </w:r>
      <w:r w:rsidR="000D560F">
        <w:t>0</w:t>
      </w:r>
      <w:r>
        <w:t>-</w:t>
      </w:r>
      <w:r w:rsidR="000D560F">
        <w:t>296</w:t>
      </w:r>
      <w:r>
        <w:t xml:space="preserve"> (</w:t>
      </w:r>
      <w:proofErr w:type="spellStart"/>
      <w:r w:rsidRPr="00962238">
        <w:rPr>
          <w:i/>
        </w:rPr>
        <w:t>Kiobel</w:t>
      </w:r>
      <w:proofErr w:type="spellEnd"/>
      <w:r w:rsidR="00962238">
        <w:t xml:space="preserve"> and </w:t>
      </w:r>
      <w:proofErr w:type="spellStart"/>
      <w:r w:rsidR="00962238" w:rsidRPr="00962238">
        <w:rPr>
          <w:i/>
        </w:rPr>
        <w:t>Jesner</w:t>
      </w:r>
      <w:proofErr w:type="spellEnd"/>
      <w:r>
        <w:t>)</w:t>
      </w:r>
      <w:r w:rsidR="000F7C75">
        <w:t xml:space="preserve">, plus note on pp. </w:t>
      </w:r>
      <w:r w:rsidR="00E71284">
        <w:t>10-12</w:t>
      </w:r>
      <w:r w:rsidR="000F7C75">
        <w:t xml:space="preserve"> </w:t>
      </w:r>
      <w:r w:rsidR="00E6325F">
        <w:t>in</w:t>
      </w:r>
      <w:r w:rsidR="000F7C75">
        <w:t xml:space="preserve"> the Supplement on </w:t>
      </w:r>
      <w:r w:rsidR="000F7C75" w:rsidRPr="000F7C75">
        <w:rPr>
          <w:i/>
          <w:iCs/>
        </w:rPr>
        <w:t>Nestlé v. Doe</w:t>
      </w:r>
      <w:r w:rsidR="000F7C75" w:rsidRPr="000F7C75">
        <w:rPr>
          <w:iCs/>
        </w:rPr>
        <w:t xml:space="preserve"> and </w:t>
      </w:r>
      <w:r w:rsidR="000F7C75" w:rsidRPr="000F7C75">
        <w:rPr>
          <w:i/>
          <w:iCs/>
        </w:rPr>
        <w:t>Doe v. Cisco Systems</w:t>
      </w:r>
    </w:p>
    <w:p w:rsidR="00AF6994" w:rsidRPr="009D69E8" w:rsidRDefault="00721D18" w:rsidP="009D69E8">
      <w:pPr>
        <w:numPr>
          <w:ilvl w:val="0"/>
          <w:numId w:val="4"/>
        </w:numPr>
        <w:ind w:left="1440" w:hanging="720"/>
      </w:pPr>
      <w:r>
        <w:t xml:space="preserve">Direct application of customary international law:  pp. </w:t>
      </w:r>
      <w:r w:rsidR="00962238">
        <w:t>296-305</w:t>
      </w:r>
      <w:r>
        <w:t xml:space="preserve"> (</w:t>
      </w:r>
      <w:r w:rsidRPr="00962238">
        <w:rPr>
          <w:i/>
        </w:rPr>
        <w:t>McKesson</w:t>
      </w:r>
      <w:r>
        <w:t xml:space="preserve"> and </w:t>
      </w:r>
      <w:proofErr w:type="spellStart"/>
      <w:r w:rsidRPr="00962238">
        <w:rPr>
          <w:i/>
        </w:rPr>
        <w:t>Paquete</w:t>
      </w:r>
      <w:proofErr w:type="spellEnd"/>
      <w:r w:rsidRPr="00962238">
        <w:rPr>
          <w:i/>
        </w:rPr>
        <w:t xml:space="preserve"> Habana</w:t>
      </w:r>
      <w:r>
        <w:t>)</w:t>
      </w:r>
    </w:p>
    <w:p w:rsidR="00865A94" w:rsidRDefault="00721D18" w:rsidP="0084502E">
      <w:pPr>
        <w:numPr>
          <w:ilvl w:val="0"/>
          <w:numId w:val="4"/>
        </w:numPr>
        <w:ind w:left="1440" w:hanging="720"/>
      </w:pPr>
      <w:r>
        <w:t xml:space="preserve">Using international law to interpret statutes: </w:t>
      </w:r>
      <w:r w:rsidR="00A84618">
        <w:t xml:space="preserve"> </w:t>
      </w:r>
      <w:r>
        <w:t xml:space="preserve">pp. </w:t>
      </w:r>
      <w:r w:rsidR="00962238">
        <w:t>305</w:t>
      </w:r>
      <w:r>
        <w:t>-3</w:t>
      </w:r>
      <w:r w:rsidR="00962238">
        <w:t>13</w:t>
      </w:r>
    </w:p>
    <w:sectPr w:rsidR="00865A94" w:rsidSect="00AF6994"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ED" w:rsidRDefault="00F111ED">
      <w:r>
        <w:separator/>
      </w:r>
    </w:p>
  </w:endnote>
  <w:endnote w:type="continuationSeparator" w:id="0">
    <w:p w:rsidR="00F111ED" w:rsidRDefault="00F1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4" w:rsidRDefault="002F5874" w:rsidP="00D765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5874" w:rsidRDefault="002F5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74" w:rsidRDefault="002F5874">
    <w:pPr>
      <w:spacing w:line="240" w:lineRule="exact"/>
    </w:pPr>
  </w:p>
  <w:p w:rsidR="002F5874" w:rsidRDefault="002F5874" w:rsidP="00D15CDB">
    <w:pPr>
      <w:framePr w:wrap="around" w:vAnchor="text" w:hAnchor="margin" w:xAlign="center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814D35">
      <w:rPr>
        <w:noProof/>
      </w:rPr>
      <w:t>1</w:t>
    </w:r>
    <w:r>
      <w:fldChar w:fldCharType="end"/>
    </w:r>
  </w:p>
  <w:p w:rsidR="002F5874" w:rsidRDefault="002F58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ED" w:rsidRDefault="00F111ED">
      <w:r>
        <w:separator/>
      </w:r>
    </w:p>
  </w:footnote>
  <w:footnote w:type="continuationSeparator" w:id="0">
    <w:p w:rsidR="00F111ED" w:rsidRDefault="00F1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D2B"/>
    <w:multiLevelType w:val="hybridMultilevel"/>
    <w:tmpl w:val="6E3A4780"/>
    <w:lvl w:ilvl="0" w:tplc="8A0A3AE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17EF1"/>
    <w:multiLevelType w:val="hybridMultilevel"/>
    <w:tmpl w:val="FCAAA242"/>
    <w:lvl w:ilvl="0" w:tplc="094E773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226C99"/>
    <w:multiLevelType w:val="hybridMultilevel"/>
    <w:tmpl w:val="8C504F18"/>
    <w:lvl w:ilvl="0" w:tplc="2D4C019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6D59DD"/>
    <w:multiLevelType w:val="hybridMultilevel"/>
    <w:tmpl w:val="8D92B69E"/>
    <w:lvl w:ilvl="0" w:tplc="81A88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4"/>
    <w:rsid w:val="00021D4F"/>
    <w:rsid w:val="00031321"/>
    <w:rsid w:val="00080612"/>
    <w:rsid w:val="000D560F"/>
    <w:rsid w:val="000F7C75"/>
    <w:rsid w:val="00105F6B"/>
    <w:rsid w:val="00125151"/>
    <w:rsid w:val="0012522E"/>
    <w:rsid w:val="00145F42"/>
    <w:rsid w:val="00182C09"/>
    <w:rsid w:val="001B2596"/>
    <w:rsid w:val="001B331C"/>
    <w:rsid w:val="00236DDD"/>
    <w:rsid w:val="002479D9"/>
    <w:rsid w:val="00285585"/>
    <w:rsid w:val="002E03ED"/>
    <w:rsid w:val="002E2829"/>
    <w:rsid w:val="002F5874"/>
    <w:rsid w:val="00332FB1"/>
    <w:rsid w:val="003877C3"/>
    <w:rsid w:val="003A5DF9"/>
    <w:rsid w:val="003F6BB0"/>
    <w:rsid w:val="0042303C"/>
    <w:rsid w:val="00441E35"/>
    <w:rsid w:val="00445338"/>
    <w:rsid w:val="004D2329"/>
    <w:rsid w:val="0050394D"/>
    <w:rsid w:val="005044B2"/>
    <w:rsid w:val="005A62F0"/>
    <w:rsid w:val="005D62A3"/>
    <w:rsid w:val="0068376D"/>
    <w:rsid w:val="006C4DE0"/>
    <w:rsid w:val="006D17B4"/>
    <w:rsid w:val="006E2B46"/>
    <w:rsid w:val="00707237"/>
    <w:rsid w:val="00721D18"/>
    <w:rsid w:val="00776869"/>
    <w:rsid w:val="00793488"/>
    <w:rsid w:val="007F1C56"/>
    <w:rsid w:val="008037C9"/>
    <w:rsid w:val="00814D35"/>
    <w:rsid w:val="0081531C"/>
    <w:rsid w:val="00821A2B"/>
    <w:rsid w:val="0084502E"/>
    <w:rsid w:val="00865A94"/>
    <w:rsid w:val="0095181B"/>
    <w:rsid w:val="00962238"/>
    <w:rsid w:val="009D2BBE"/>
    <w:rsid w:val="009D69E8"/>
    <w:rsid w:val="009F18D7"/>
    <w:rsid w:val="00A84618"/>
    <w:rsid w:val="00AB452D"/>
    <w:rsid w:val="00AD0811"/>
    <w:rsid w:val="00AD6108"/>
    <w:rsid w:val="00AF6994"/>
    <w:rsid w:val="00B511FF"/>
    <w:rsid w:val="00B63335"/>
    <w:rsid w:val="00BA2FD5"/>
    <w:rsid w:val="00BE3CFF"/>
    <w:rsid w:val="00BF4039"/>
    <w:rsid w:val="00BF5443"/>
    <w:rsid w:val="00C248BF"/>
    <w:rsid w:val="00C34D31"/>
    <w:rsid w:val="00C92F05"/>
    <w:rsid w:val="00C96617"/>
    <w:rsid w:val="00CB6D1E"/>
    <w:rsid w:val="00CC6585"/>
    <w:rsid w:val="00CD6021"/>
    <w:rsid w:val="00CF3D8B"/>
    <w:rsid w:val="00D0205F"/>
    <w:rsid w:val="00D0522D"/>
    <w:rsid w:val="00D15CDB"/>
    <w:rsid w:val="00D46E64"/>
    <w:rsid w:val="00D765F2"/>
    <w:rsid w:val="00DE7A4C"/>
    <w:rsid w:val="00E15CEF"/>
    <w:rsid w:val="00E6325F"/>
    <w:rsid w:val="00E71284"/>
    <w:rsid w:val="00EE31B6"/>
    <w:rsid w:val="00F0745B"/>
    <w:rsid w:val="00F111ED"/>
    <w:rsid w:val="00F42B29"/>
    <w:rsid w:val="00F60186"/>
    <w:rsid w:val="00FB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D1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B"/>
  </w:style>
  <w:style w:type="character" w:styleId="Hyperlink">
    <w:name w:val="Hyperlink"/>
    <w:uiPriority w:val="99"/>
    <w:rsid w:val="005A62F0"/>
    <w:rPr>
      <w:color w:val="0000FF"/>
      <w:u w:val="single"/>
    </w:rPr>
  </w:style>
  <w:style w:type="character" w:styleId="FollowedHyperlink">
    <w:name w:val="FollowedHyperlink"/>
    <w:rsid w:val="00CF3D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5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Footer">
    <w:name w:val="footer"/>
    <w:basedOn w:val="Normal"/>
    <w:rsid w:val="00D15C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CDB"/>
  </w:style>
  <w:style w:type="character" w:styleId="Hyperlink">
    <w:name w:val="Hyperlink"/>
    <w:uiPriority w:val="99"/>
    <w:rsid w:val="005A62F0"/>
    <w:rPr>
      <w:color w:val="0000FF"/>
      <w:u w:val="single"/>
    </w:rPr>
  </w:style>
  <w:style w:type="character" w:styleId="FollowedHyperlink">
    <w:name w:val="FollowedHyperlink"/>
    <w:rsid w:val="00CF3D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5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178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 LAW</vt:lpstr>
    </vt:vector>
  </TitlesOfParts>
  <Company>Microsoft</Company>
  <LinksUpToDate>false</LinksUpToDate>
  <CharactersWithSpaces>1467</CharactersWithSpaces>
  <SharedDoc>false</SharedDoc>
  <HLinks>
    <vt:vector size="24" baseType="variant">
      <vt:variant>
        <vt:i4>2293810</vt:i4>
      </vt:variant>
      <vt:variant>
        <vt:i4>9</vt:i4>
      </vt:variant>
      <vt:variant>
        <vt:i4>0</vt:i4>
      </vt:variant>
      <vt:variant>
        <vt:i4>5</vt:i4>
      </vt:variant>
      <vt:variant>
        <vt:lpwstr>http://www.uniformlaws.org/ActSummary.aspx?title=Foreign-Country%20Money%20Judgments%20Recognition%20Act%20</vt:lpwstr>
      </vt:variant>
      <vt:variant>
        <vt:lpwstr/>
      </vt:variant>
      <vt:variant>
        <vt:i4>8126567</vt:i4>
      </vt:variant>
      <vt:variant>
        <vt:i4>6</vt:i4>
      </vt:variant>
      <vt:variant>
        <vt:i4>0</vt:i4>
      </vt:variant>
      <vt:variant>
        <vt:i4>5</vt:i4>
      </vt:variant>
      <vt:variant>
        <vt:lpwstr>http://www.uniformlaws.org/shared/docs/foreign country money judgments recognition/ufcmjra_final_05.pdf</vt:lpwstr>
      </vt:variant>
      <vt:variant>
        <vt:lpwstr/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http://www.uniformlaws.org/shared/docs/foreign money judgments recognition/ufmjra final act.pdf</vt:lpwstr>
      </vt:variant>
      <vt:variant>
        <vt:lpwstr/>
      </vt:variant>
      <vt:variant>
        <vt:i4>2555910</vt:i4>
      </vt:variant>
      <vt:variant>
        <vt:i4>0</vt:i4>
      </vt:variant>
      <vt:variant>
        <vt:i4>0</vt:i4>
      </vt:variant>
      <vt:variant>
        <vt:i4>5</vt:i4>
      </vt:variant>
      <vt:variant>
        <vt:lpwstr>http://www.hcch.net/index_en.php?act=conventions.text&amp;cid=82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 LAW</dc:title>
  <dc:creator>Michael Ramsey</dc:creator>
  <cp:lastModifiedBy>mramsey</cp:lastModifiedBy>
  <cp:revision>2</cp:revision>
  <cp:lastPrinted>2012-11-03T22:26:00Z</cp:lastPrinted>
  <dcterms:created xsi:type="dcterms:W3CDTF">2025-03-26T23:54:00Z</dcterms:created>
  <dcterms:modified xsi:type="dcterms:W3CDTF">2025-03-26T23:54:00Z</dcterms:modified>
</cp:coreProperties>
</file>