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94" w:rsidRDefault="00DE7A4C">
      <w:pPr>
        <w:jc w:val="center"/>
        <w:rPr>
          <w:b/>
          <w:bCs/>
        </w:rPr>
      </w:pPr>
      <w:r>
        <w:rPr>
          <w:b/>
          <w:bCs/>
        </w:rPr>
        <w:t>INTERNATIONAL CIVIL LITIGATION</w:t>
      </w:r>
    </w:p>
    <w:p w:rsidR="00AF6994" w:rsidRDefault="00AF6994">
      <w:pPr>
        <w:jc w:val="center"/>
        <w:rPr>
          <w:b/>
          <w:bCs/>
        </w:rPr>
      </w:pPr>
      <w:r>
        <w:rPr>
          <w:b/>
          <w:bCs/>
        </w:rPr>
        <w:t>Professor Mike Ramsey</w:t>
      </w:r>
    </w:p>
    <w:p w:rsidR="00AF6994" w:rsidRDefault="00577772">
      <w:pPr>
        <w:jc w:val="center"/>
        <w:rPr>
          <w:b/>
          <w:bCs/>
        </w:rPr>
      </w:pPr>
      <w:r>
        <w:rPr>
          <w:b/>
          <w:bCs/>
        </w:rPr>
        <w:t>Spring 2025</w:t>
      </w:r>
    </w:p>
    <w:p w:rsidR="00AF6994" w:rsidRDefault="00AF6994">
      <w:pPr>
        <w:jc w:val="center"/>
        <w:rPr>
          <w:b/>
          <w:bCs/>
        </w:rPr>
      </w:pPr>
    </w:p>
    <w:p w:rsidR="00D15CDB" w:rsidRDefault="00D15CDB">
      <w:pPr>
        <w:jc w:val="center"/>
        <w:rPr>
          <w:b/>
          <w:bCs/>
        </w:rPr>
      </w:pPr>
      <w:r>
        <w:rPr>
          <w:b/>
          <w:bCs/>
        </w:rPr>
        <w:t>Reading List</w:t>
      </w:r>
    </w:p>
    <w:p w:rsidR="00AF6994" w:rsidRDefault="007A479A">
      <w:pPr>
        <w:jc w:val="center"/>
        <w:rPr>
          <w:b/>
          <w:bCs/>
        </w:rPr>
      </w:pPr>
      <w:r>
        <w:rPr>
          <w:b/>
          <w:bCs/>
        </w:rPr>
        <w:t>Part 4</w:t>
      </w:r>
      <w:r w:rsidR="00AF6994">
        <w:rPr>
          <w:b/>
          <w:bCs/>
        </w:rPr>
        <w:t xml:space="preserve"> </w:t>
      </w:r>
      <w:r w:rsidR="003877C3">
        <w:rPr>
          <w:b/>
          <w:bCs/>
        </w:rPr>
        <w:t>–</w:t>
      </w:r>
      <w:r w:rsidR="009D2BBE">
        <w:rPr>
          <w:b/>
          <w:bCs/>
        </w:rPr>
        <w:t xml:space="preserve"> </w:t>
      </w:r>
      <w:r w:rsidR="00776869">
        <w:rPr>
          <w:b/>
          <w:bCs/>
        </w:rPr>
        <w:t>Discovery and Enforcement</w:t>
      </w:r>
      <w:r w:rsidR="00E15CEF">
        <w:rPr>
          <w:b/>
          <w:bCs/>
        </w:rPr>
        <w:t xml:space="preserve"> in Transnational Cases</w:t>
      </w:r>
    </w:p>
    <w:p w:rsidR="0084502E" w:rsidRDefault="0084502E" w:rsidP="0084502E">
      <w:pPr>
        <w:jc w:val="center"/>
        <w:rPr>
          <w:b/>
          <w:bCs/>
        </w:rPr>
      </w:pPr>
      <w:r>
        <w:rPr>
          <w:b/>
          <w:bCs/>
        </w:rPr>
        <w:t>____________________</w:t>
      </w:r>
    </w:p>
    <w:p w:rsidR="0084502E" w:rsidRDefault="0084502E" w:rsidP="0084502E">
      <w:pPr>
        <w:jc w:val="center"/>
        <w:rPr>
          <w:b/>
          <w:bCs/>
        </w:rPr>
      </w:pPr>
    </w:p>
    <w:p w:rsidR="007A479A" w:rsidRDefault="007A479A" w:rsidP="007A479A">
      <w:pPr>
        <w:rPr>
          <w:bCs/>
        </w:rPr>
      </w:pPr>
      <w:r w:rsidRPr="003212D1">
        <w:rPr>
          <w:bCs/>
        </w:rPr>
        <w:t>[</w:t>
      </w:r>
      <w:r w:rsidRPr="00225611">
        <w:rPr>
          <w:bCs/>
          <w:u w:val="single"/>
        </w:rPr>
        <w:t>Note</w:t>
      </w:r>
      <w:r w:rsidRPr="00801A22">
        <w:rPr>
          <w:bCs/>
        </w:rPr>
        <w:t>:  All paginated assignments refer to the casebook (</w:t>
      </w:r>
      <w:r>
        <w:rPr>
          <w:bCs/>
        </w:rPr>
        <w:t xml:space="preserve">Childress, Ramsey &amp; </w:t>
      </w:r>
      <w:proofErr w:type="spellStart"/>
      <w:r>
        <w:rPr>
          <w:bCs/>
        </w:rPr>
        <w:t>Whytock</w:t>
      </w:r>
      <w:proofErr w:type="spellEnd"/>
      <w:r w:rsidRPr="00801A22">
        <w:rPr>
          <w:bCs/>
        </w:rPr>
        <w:t xml:space="preserve">, </w:t>
      </w:r>
      <w:r>
        <w:rPr>
          <w:bCs/>
          <w:i/>
        </w:rPr>
        <w:t>Transnational Law and Practice</w:t>
      </w:r>
      <w:r w:rsidRPr="00801A22">
        <w:rPr>
          <w:bCs/>
        </w:rPr>
        <w:t xml:space="preserve"> </w:t>
      </w:r>
      <w:r>
        <w:rPr>
          <w:bCs/>
        </w:rPr>
        <w:t xml:space="preserve">(2d ed. </w:t>
      </w:r>
      <w:r w:rsidRPr="00801A22">
        <w:rPr>
          <w:bCs/>
        </w:rPr>
        <w:t>20</w:t>
      </w:r>
      <w:r>
        <w:rPr>
          <w:bCs/>
        </w:rPr>
        <w:t xml:space="preserve">21)) or if designated as “in the supplement” they refer to the </w:t>
      </w:r>
      <w:proofErr w:type="gramStart"/>
      <w:r>
        <w:rPr>
          <w:bCs/>
        </w:rPr>
        <w:t>Fall</w:t>
      </w:r>
      <w:proofErr w:type="gramEnd"/>
      <w:r>
        <w:rPr>
          <w:bCs/>
        </w:rPr>
        <w:t xml:space="preserve"> 2023 Supplement to the casebook, available for download at </w:t>
      </w:r>
      <w:hyperlink r:id="rId8" w:history="1">
        <w:r w:rsidRPr="00600C29">
          <w:rPr>
            <w:rStyle w:val="Hyperlink"/>
          </w:rPr>
          <w:t>https://papers.ssrn.com/sol3/papers.cfm?abstract_id=4178684</w:t>
        </w:r>
      </w:hyperlink>
      <w:r>
        <w:t>].</w:t>
      </w:r>
    </w:p>
    <w:p w:rsidR="00776869" w:rsidRDefault="00776869">
      <w:pPr>
        <w:rPr>
          <w:b/>
          <w:bCs/>
        </w:rPr>
      </w:pPr>
    </w:p>
    <w:p w:rsidR="00AF6994" w:rsidRDefault="00776869">
      <w:r>
        <w:t>I.</w:t>
      </w:r>
      <w:r>
        <w:tab/>
      </w:r>
      <w:r w:rsidR="001B331C">
        <w:t>Transnational</w:t>
      </w:r>
      <w:r>
        <w:t xml:space="preserve"> Discovery</w:t>
      </w:r>
    </w:p>
    <w:p w:rsidR="00C34D31" w:rsidRDefault="00C34D31"/>
    <w:p w:rsidR="005A62F0" w:rsidRDefault="00E247F9" w:rsidP="005A62F0">
      <w:pPr>
        <w:numPr>
          <w:ilvl w:val="0"/>
          <w:numId w:val="3"/>
        </w:numPr>
      </w:pPr>
      <w:r>
        <w:t xml:space="preserve">Introduction and </w:t>
      </w:r>
      <w:r w:rsidR="001B331C">
        <w:t>Discovery under the Federal Rules:  pp. 937-941.</w:t>
      </w:r>
    </w:p>
    <w:p w:rsidR="00E247F9" w:rsidRDefault="005A62F0" w:rsidP="00E247F9">
      <w:pPr>
        <w:numPr>
          <w:ilvl w:val="0"/>
          <w:numId w:val="3"/>
        </w:numPr>
      </w:pPr>
      <w:r>
        <w:t xml:space="preserve">Discovery </w:t>
      </w:r>
      <w:r w:rsidR="001B331C">
        <w:t>under the Hague Evidence Convention</w:t>
      </w:r>
      <w:r>
        <w:t xml:space="preserve">:  pp. </w:t>
      </w:r>
      <w:r w:rsidR="00E247F9">
        <w:t>941-960</w:t>
      </w:r>
      <w:r w:rsidR="001B331C">
        <w:t xml:space="preserve">, </w:t>
      </w:r>
      <w:r>
        <w:t xml:space="preserve">esp. </w:t>
      </w:r>
      <w:proofErr w:type="spellStart"/>
      <w:r w:rsidR="001B331C" w:rsidRPr="00E247F9">
        <w:rPr>
          <w:i/>
        </w:rPr>
        <w:t>Societe</w:t>
      </w:r>
      <w:proofErr w:type="spellEnd"/>
      <w:r w:rsidR="001B331C" w:rsidRPr="00E247F9">
        <w:rPr>
          <w:i/>
        </w:rPr>
        <w:t xml:space="preserve"> </w:t>
      </w:r>
      <w:proofErr w:type="spellStart"/>
      <w:r w:rsidR="001B331C" w:rsidRPr="00E247F9">
        <w:rPr>
          <w:i/>
        </w:rPr>
        <w:t>Nationale</w:t>
      </w:r>
      <w:proofErr w:type="spellEnd"/>
      <w:r>
        <w:t xml:space="preserve"> on pp. 9</w:t>
      </w:r>
      <w:r w:rsidR="001B331C">
        <w:t xml:space="preserve">42-947 and </w:t>
      </w:r>
      <w:proofErr w:type="spellStart"/>
      <w:r w:rsidR="001B331C" w:rsidRPr="00E247F9">
        <w:rPr>
          <w:i/>
        </w:rPr>
        <w:t>Pronova</w:t>
      </w:r>
      <w:proofErr w:type="spellEnd"/>
      <w:r w:rsidR="001B331C">
        <w:t xml:space="preserve"> on pp. </w:t>
      </w:r>
      <w:r w:rsidR="00E247F9">
        <w:t>953-956</w:t>
      </w:r>
      <w:r w:rsidR="001B331C">
        <w:t>;</w:t>
      </w:r>
      <w:r w:rsidR="001B331C" w:rsidRPr="001B331C">
        <w:t xml:space="preserve"> </w:t>
      </w:r>
      <w:r w:rsidR="001B331C">
        <w:t xml:space="preserve">plus look at the Hague Convention on the Taking of Evidence Abroad, available at </w:t>
      </w:r>
      <w:hyperlink r:id="rId9" w:history="1">
        <w:r w:rsidR="001B331C" w:rsidRPr="001B4B4D">
          <w:rPr>
            <w:rStyle w:val="Hyperlink"/>
          </w:rPr>
          <w:t>http://www.hcch.net/index_en.php?act=conventions.text&amp;cid=82</w:t>
        </w:r>
      </w:hyperlink>
      <w:r w:rsidR="00E247F9">
        <w:t>, esp. the status table.</w:t>
      </w:r>
    </w:p>
    <w:p w:rsidR="005A62F0" w:rsidRDefault="005A62F0" w:rsidP="001B331C">
      <w:pPr>
        <w:numPr>
          <w:ilvl w:val="0"/>
          <w:numId w:val="3"/>
        </w:numPr>
      </w:pPr>
      <w:r>
        <w:t>Confli</w:t>
      </w:r>
      <w:r w:rsidR="00182C09">
        <w:t xml:space="preserve">cts with foreign law:  pp. </w:t>
      </w:r>
      <w:r w:rsidR="00E247F9">
        <w:t>960-969</w:t>
      </w:r>
      <w:r w:rsidR="00145F42">
        <w:t xml:space="preserve">, plus </w:t>
      </w:r>
      <w:r w:rsidR="00577772">
        <w:t>N</w:t>
      </w:r>
      <w:r w:rsidR="00E247F9">
        <w:t>ote</w:t>
      </w:r>
      <w:r w:rsidR="00577772">
        <w:t xml:space="preserve"> 5a</w:t>
      </w:r>
      <w:r w:rsidR="00E247F9">
        <w:t xml:space="preserve"> on </w:t>
      </w:r>
      <w:r w:rsidR="00E247F9" w:rsidRPr="00E247F9">
        <w:rPr>
          <w:i/>
        </w:rPr>
        <w:t xml:space="preserve">Owen v. </w:t>
      </w:r>
      <w:proofErr w:type="spellStart"/>
      <w:r w:rsidR="00E247F9" w:rsidRPr="00E247F9">
        <w:rPr>
          <w:i/>
        </w:rPr>
        <w:t>Elastos</w:t>
      </w:r>
      <w:proofErr w:type="spellEnd"/>
      <w:r w:rsidR="00E247F9">
        <w:t xml:space="preserve"> </w:t>
      </w:r>
      <w:r w:rsidR="00577772">
        <w:t>and data protection laws on p. 27</w:t>
      </w:r>
      <w:r w:rsidR="00E247F9">
        <w:t xml:space="preserve"> in</w:t>
      </w:r>
      <w:r w:rsidR="00145F42">
        <w:t xml:space="preserve"> the Supplement.</w:t>
      </w:r>
    </w:p>
    <w:p w:rsidR="001B331C" w:rsidRDefault="0084502E" w:rsidP="001B331C">
      <w:pPr>
        <w:numPr>
          <w:ilvl w:val="0"/>
          <w:numId w:val="3"/>
        </w:numPr>
      </w:pPr>
      <w:r>
        <w:t>Discovery in a</w:t>
      </w:r>
      <w:r w:rsidR="001B331C">
        <w:t xml:space="preserve">id of </w:t>
      </w:r>
      <w:r>
        <w:t>f</w:t>
      </w:r>
      <w:r w:rsidR="001B331C">
        <w:t xml:space="preserve">oreign </w:t>
      </w:r>
      <w:r>
        <w:t>p</w:t>
      </w:r>
      <w:r w:rsidR="001B331C">
        <w:t>roceedings:  pp. 969-976</w:t>
      </w:r>
      <w:r w:rsidR="00E247F9">
        <w:t xml:space="preserve">, plus note on </w:t>
      </w:r>
      <w:r w:rsidR="00E247F9" w:rsidRPr="00E247F9">
        <w:rPr>
          <w:i/>
        </w:rPr>
        <w:t>ZF Automotive</w:t>
      </w:r>
      <w:r w:rsidR="00577772">
        <w:t xml:space="preserve"> on p. 27</w:t>
      </w:r>
      <w:bookmarkStart w:id="0" w:name="_GoBack"/>
      <w:bookmarkEnd w:id="0"/>
      <w:r w:rsidR="00E247F9">
        <w:t xml:space="preserve"> in the Supplement.</w:t>
      </w:r>
    </w:p>
    <w:p w:rsidR="001B331C" w:rsidRDefault="001B331C" w:rsidP="001B331C">
      <w:pPr>
        <w:numPr>
          <w:ilvl w:val="0"/>
          <w:numId w:val="3"/>
        </w:numPr>
      </w:pPr>
      <w:r>
        <w:t>Review Notes and Questions:  p. 976</w:t>
      </w:r>
      <w:r w:rsidR="0084502E">
        <w:t>.</w:t>
      </w:r>
    </w:p>
    <w:p w:rsidR="005A62F0" w:rsidRPr="005A62F0" w:rsidRDefault="005A62F0" w:rsidP="009F18D7">
      <w:pPr>
        <w:ind w:left="1440" w:hanging="720"/>
      </w:pPr>
    </w:p>
    <w:p w:rsidR="00AF6994" w:rsidRDefault="00AF6994">
      <w:r>
        <w:t>II.</w:t>
      </w:r>
      <w:r>
        <w:tab/>
      </w:r>
      <w:r w:rsidR="00E247F9">
        <w:t>Enforcing Foreign J</w:t>
      </w:r>
      <w:r w:rsidR="00776869">
        <w:t>udgments</w:t>
      </w:r>
      <w:r w:rsidR="00E247F9">
        <w:t xml:space="preserve"> and Arbitral Awards</w:t>
      </w:r>
    </w:p>
    <w:p w:rsidR="00AF6994" w:rsidRDefault="00AF6994"/>
    <w:p w:rsidR="009D69E8" w:rsidRDefault="001B331C" w:rsidP="009D69E8">
      <w:pPr>
        <w:numPr>
          <w:ilvl w:val="0"/>
          <w:numId w:val="4"/>
        </w:numPr>
        <w:ind w:left="1440" w:hanging="720"/>
      </w:pPr>
      <w:r>
        <w:t>Introduction</w:t>
      </w:r>
      <w:r w:rsidR="00182C09">
        <w:t xml:space="preserve">:  pp. </w:t>
      </w:r>
      <w:r w:rsidR="00E247F9">
        <w:t>597-600</w:t>
      </w:r>
      <w:r w:rsidR="009D69E8">
        <w:t>.</w:t>
      </w:r>
    </w:p>
    <w:p w:rsidR="001B331C" w:rsidRDefault="0084502E" w:rsidP="009D69E8">
      <w:pPr>
        <w:numPr>
          <w:ilvl w:val="0"/>
          <w:numId w:val="4"/>
        </w:numPr>
        <w:ind w:left="1440" w:hanging="720"/>
      </w:pPr>
      <w:r>
        <w:t>Enforcing f</w:t>
      </w:r>
      <w:r w:rsidR="001B331C">
        <w:t xml:space="preserve">oreign </w:t>
      </w:r>
      <w:r>
        <w:t>j</w:t>
      </w:r>
      <w:r w:rsidR="001B331C">
        <w:t xml:space="preserve">udgments in U.S. </w:t>
      </w:r>
      <w:r>
        <w:t>c</w:t>
      </w:r>
      <w:r w:rsidR="001B331C">
        <w:t>ourts</w:t>
      </w:r>
      <w:r w:rsidR="006A7530">
        <w:t>,</w:t>
      </w:r>
      <w:r w:rsidR="001B331C">
        <w:t xml:space="preserve"> </w:t>
      </w:r>
      <w:r w:rsidR="006A7530">
        <w:t>(</w:t>
      </w:r>
      <w:proofErr w:type="spellStart"/>
      <w:r w:rsidR="006A7530">
        <w:t>i</w:t>
      </w:r>
      <w:proofErr w:type="spellEnd"/>
      <w:r w:rsidR="006A7530">
        <w:t xml:space="preserve">) procedural exceptions: </w:t>
      </w:r>
      <w:r w:rsidR="001B331C">
        <w:t xml:space="preserve">pp. </w:t>
      </w:r>
      <w:r w:rsidR="006A7530">
        <w:t>600-637</w:t>
      </w:r>
      <w:r w:rsidR="001B331C">
        <w:t xml:space="preserve">, esp. </w:t>
      </w:r>
      <w:proofErr w:type="spellStart"/>
      <w:r w:rsidR="006A7530">
        <w:rPr>
          <w:i/>
        </w:rPr>
        <w:t>Midbrook</w:t>
      </w:r>
      <w:proofErr w:type="spellEnd"/>
      <w:r w:rsidR="006A7530">
        <w:rPr>
          <w:i/>
        </w:rPr>
        <w:t xml:space="preserve"> </w:t>
      </w:r>
      <w:r w:rsidR="006A7530" w:rsidRPr="00577772">
        <w:t>and</w:t>
      </w:r>
      <w:r w:rsidR="006A7530">
        <w:rPr>
          <w:i/>
        </w:rPr>
        <w:t xml:space="preserve"> DeJoria</w:t>
      </w:r>
      <w:r>
        <w:t>.</w:t>
      </w:r>
    </w:p>
    <w:p w:rsidR="00AF6994" w:rsidRPr="009D69E8" w:rsidRDefault="002F5874" w:rsidP="009D69E8">
      <w:pPr>
        <w:numPr>
          <w:ilvl w:val="0"/>
          <w:numId w:val="4"/>
        </w:numPr>
        <w:ind w:left="1440" w:hanging="720"/>
      </w:pPr>
      <w:r>
        <w:t>Uniform Foreign Money-Judgments Recognition Act</w:t>
      </w:r>
      <w:r w:rsidR="009D69E8">
        <w:t xml:space="preserve"> (UFMJRA) (“1962 Act</w:t>
      </w:r>
      <w:r w:rsidR="0084502E">
        <w:t>”</w:t>
      </w:r>
      <w:r w:rsidR="009D69E8">
        <w:t>)</w:t>
      </w:r>
      <w:r>
        <w:t xml:space="preserve"> (review </w:t>
      </w:r>
      <w:r w:rsidRPr="002F5874">
        <w:t xml:space="preserve">sections </w:t>
      </w:r>
      <w:r w:rsidRPr="002F5874">
        <w:rPr>
          <w:lang w:val="en"/>
        </w:rPr>
        <w:t>that allow or require a court to reject recognition)</w:t>
      </w:r>
      <w:r w:rsidR="00F20982">
        <w:rPr>
          <w:lang w:val="en"/>
        </w:rPr>
        <w:t xml:space="preserve"> [available at course webpage].</w:t>
      </w:r>
    </w:p>
    <w:p w:rsidR="00F20982" w:rsidRPr="006A7530" w:rsidRDefault="009D69E8" w:rsidP="00F20982">
      <w:pPr>
        <w:numPr>
          <w:ilvl w:val="0"/>
          <w:numId w:val="4"/>
        </w:numPr>
        <w:ind w:left="1440" w:hanging="720"/>
      </w:pPr>
      <w:r>
        <w:rPr>
          <w:lang w:val="en"/>
        </w:rPr>
        <w:t>Uniform Foreign Country Money Judgments Recognition Act (UFCMJRA) (“2005 Act”)</w:t>
      </w:r>
      <w:r w:rsidR="0084502E">
        <w:rPr>
          <w:lang w:val="en"/>
        </w:rPr>
        <w:t xml:space="preserve"> </w:t>
      </w:r>
      <w:r w:rsidR="00F20982">
        <w:rPr>
          <w:lang w:val="en"/>
        </w:rPr>
        <w:t xml:space="preserve">(California version) </w:t>
      </w:r>
      <w:r>
        <w:t xml:space="preserve">(review </w:t>
      </w:r>
      <w:r w:rsidRPr="002F5874">
        <w:t xml:space="preserve">sections </w:t>
      </w:r>
      <w:r w:rsidRPr="002F5874">
        <w:rPr>
          <w:lang w:val="en"/>
        </w:rPr>
        <w:t>that allow or requir</w:t>
      </w:r>
      <w:r w:rsidR="00F20982">
        <w:rPr>
          <w:lang w:val="en"/>
        </w:rPr>
        <w:t>e a court to reject recognition) [available at course webpage].</w:t>
      </w:r>
    </w:p>
    <w:p w:rsidR="006A7530" w:rsidRPr="009D69E8" w:rsidRDefault="006A7530" w:rsidP="00F20982">
      <w:pPr>
        <w:numPr>
          <w:ilvl w:val="0"/>
          <w:numId w:val="4"/>
        </w:numPr>
        <w:ind w:left="1440" w:hanging="720"/>
      </w:pPr>
      <w:r>
        <w:t>Enforcing foreign judgments in U.S. courts, (i</w:t>
      </w:r>
      <w:r w:rsidR="00AF4F62">
        <w:t>i</w:t>
      </w:r>
      <w:r>
        <w:t xml:space="preserve">) public policy exception: pp. 637-647, esp. </w:t>
      </w:r>
      <w:r w:rsidRPr="006A7530">
        <w:rPr>
          <w:i/>
        </w:rPr>
        <w:t>Southwest Livestock</w:t>
      </w:r>
      <w:r>
        <w:t xml:space="preserve">, plus note on </w:t>
      </w:r>
      <w:proofErr w:type="spellStart"/>
      <w:r w:rsidRPr="006A7530">
        <w:rPr>
          <w:i/>
        </w:rPr>
        <w:t>DeFontbrune</w:t>
      </w:r>
      <w:proofErr w:type="spellEnd"/>
      <w:r w:rsidRPr="006A7530">
        <w:rPr>
          <w:i/>
        </w:rPr>
        <w:t xml:space="preserve"> v. </w:t>
      </w:r>
      <w:proofErr w:type="spellStart"/>
      <w:r w:rsidRPr="006A7530">
        <w:rPr>
          <w:i/>
        </w:rPr>
        <w:t>Wofsy</w:t>
      </w:r>
      <w:proofErr w:type="spellEnd"/>
      <w:r>
        <w:t xml:space="preserve"> on p</w:t>
      </w:r>
      <w:r w:rsidR="00577772">
        <w:t>p</w:t>
      </w:r>
      <w:r>
        <w:t>. 1</w:t>
      </w:r>
      <w:r w:rsidR="00577772">
        <w:t>6-17</w:t>
      </w:r>
      <w:r>
        <w:t xml:space="preserve"> in the Supplement.</w:t>
      </w:r>
    </w:p>
    <w:p w:rsidR="00CC6585" w:rsidRDefault="0084502E" w:rsidP="0084502E">
      <w:pPr>
        <w:pStyle w:val="ListParagraph"/>
        <w:numPr>
          <w:ilvl w:val="0"/>
          <w:numId w:val="4"/>
        </w:numPr>
        <w:ind w:left="1440" w:hanging="720"/>
      </w:pPr>
      <w:r>
        <w:t>Enforcing U</w:t>
      </w:r>
      <w:r w:rsidR="006A7530">
        <w:t>.S. j</w:t>
      </w:r>
      <w:r>
        <w:t>udgments in f</w:t>
      </w:r>
      <w:r w:rsidR="00865A94">
        <w:t xml:space="preserve">oreign </w:t>
      </w:r>
      <w:r>
        <w:t>c</w:t>
      </w:r>
      <w:r w:rsidR="00865A94">
        <w:t xml:space="preserve">ourts: pp. </w:t>
      </w:r>
      <w:r w:rsidR="006A7530">
        <w:t>647-650.</w:t>
      </w:r>
    </w:p>
    <w:p w:rsidR="00865A94" w:rsidRDefault="00865A94" w:rsidP="0084502E">
      <w:pPr>
        <w:numPr>
          <w:ilvl w:val="0"/>
          <w:numId w:val="4"/>
        </w:numPr>
        <w:ind w:left="1440" w:hanging="720"/>
      </w:pPr>
      <w:r>
        <w:t>Review Notes and Questions: pp. 645-646.</w:t>
      </w:r>
    </w:p>
    <w:p w:rsidR="006A7530" w:rsidRDefault="006A7530" w:rsidP="0084502E">
      <w:pPr>
        <w:numPr>
          <w:ilvl w:val="0"/>
          <w:numId w:val="4"/>
        </w:numPr>
        <w:ind w:left="1440" w:hanging="720"/>
      </w:pPr>
      <w:r>
        <w:t>Enforcing arbitration awards: pp. 653-683 (skim)</w:t>
      </w:r>
    </w:p>
    <w:sectPr w:rsidR="006A7530" w:rsidSect="00AF6994">
      <w:footerReference w:type="even" r:id="rId10"/>
      <w:footerReference w:type="default" r:id="rId11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AE" w:rsidRDefault="005934AE">
      <w:r>
        <w:separator/>
      </w:r>
    </w:p>
  </w:endnote>
  <w:endnote w:type="continuationSeparator" w:id="0">
    <w:p w:rsidR="005934AE" w:rsidRDefault="0059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4" w:rsidRDefault="002F5874" w:rsidP="00D765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5874" w:rsidRDefault="002F58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4" w:rsidRDefault="002F5874">
    <w:pPr>
      <w:spacing w:line="240" w:lineRule="exact"/>
    </w:pPr>
  </w:p>
  <w:p w:rsidR="002F5874" w:rsidRDefault="002F5874" w:rsidP="00D15CDB">
    <w:pPr>
      <w:framePr w:wrap="around" w:vAnchor="text" w:hAnchor="margin" w:xAlign="center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577772">
      <w:rPr>
        <w:noProof/>
      </w:rPr>
      <w:t>1</w:t>
    </w:r>
    <w:r>
      <w:fldChar w:fldCharType="end"/>
    </w:r>
  </w:p>
  <w:p w:rsidR="002F5874" w:rsidRDefault="002F58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AE" w:rsidRDefault="005934AE">
      <w:r>
        <w:separator/>
      </w:r>
    </w:p>
  </w:footnote>
  <w:footnote w:type="continuationSeparator" w:id="0">
    <w:p w:rsidR="005934AE" w:rsidRDefault="0059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7D2B"/>
    <w:multiLevelType w:val="hybridMultilevel"/>
    <w:tmpl w:val="6E3A4780"/>
    <w:lvl w:ilvl="0" w:tplc="8A0A3A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17EF1"/>
    <w:multiLevelType w:val="hybridMultilevel"/>
    <w:tmpl w:val="FCAAA242"/>
    <w:lvl w:ilvl="0" w:tplc="094E77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226C99"/>
    <w:multiLevelType w:val="hybridMultilevel"/>
    <w:tmpl w:val="8C504F18"/>
    <w:lvl w:ilvl="0" w:tplc="2D4C019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6D59DD"/>
    <w:multiLevelType w:val="hybridMultilevel"/>
    <w:tmpl w:val="8D92B69E"/>
    <w:lvl w:ilvl="0" w:tplc="81A88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4"/>
    <w:rsid w:val="00021D4F"/>
    <w:rsid w:val="00031321"/>
    <w:rsid w:val="00080612"/>
    <w:rsid w:val="00105F6B"/>
    <w:rsid w:val="00125151"/>
    <w:rsid w:val="0012522E"/>
    <w:rsid w:val="00145F42"/>
    <w:rsid w:val="00182C09"/>
    <w:rsid w:val="001B2596"/>
    <w:rsid w:val="001B331C"/>
    <w:rsid w:val="00236DDD"/>
    <w:rsid w:val="002479D9"/>
    <w:rsid w:val="00285585"/>
    <w:rsid w:val="002B6803"/>
    <w:rsid w:val="002E03ED"/>
    <w:rsid w:val="002E2829"/>
    <w:rsid w:val="002F5874"/>
    <w:rsid w:val="00331564"/>
    <w:rsid w:val="00332FB1"/>
    <w:rsid w:val="003877C3"/>
    <w:rsid w:val="003A5DF9"/>
    <w:rsid w:val="003E2DDC"/>
    <w:rsid w:val="003F6BB0"/>
    <w:rsid w:val="0042303C"/>
    <w:rsid w:val="00441E35"/>
    <w:rsid w:val="00445338"/>
    <w:rsid w:val="00457272"/>
    <w:rsid w:val="004D2329"/>
    <w:rsid w:val="0050394D"/>
    <w:rsid w:val="005044B2"/>
    <w:rsid w:val="00577772"/>
    <w:rsid w:val="005934AE"/>
    <w:rsid w:val="005A62F0"/>
    <w:rsid w:val="005D62A3"/>
    <w:rsid w:val="005F5C19"/>
    <w:rsid w:val="0068376D"/>
    <w:rsid w:val="006A7530"/>
    <w:rsid w:val="006C4DE0"/>
    <w:rsid w:val="006D17B4"/>
    <w:rsid w:val="006E2B46"/>
    <w:rsid w:val="00707237"/>
    <w:rsid w:val="007207EE"/>
    <w:rsid w:val="00776869"/>
    <w:rsid w:val="00793488"/>
    <w:rsid w:val="007A479A"/>
    <w:rsid w:val="007F1C56"/>
    <w:rsid w:val="008037C9"/>
    <w:rsid w:val="00821A2B"/>
    <w:rsid w:val="0084502E"/>
    <w:rsid w:val="00865A94"/>
    <w:rsid w:val="0095181B"/>
    <w:rsid w:val="009D2BBE"/>
    <w:rsid w:val="009D69E8"/>
    <w:rsid w:val="009F18D7"/>
    <w:rsid w:val="00AB452D"/>
    <w:rsid w:val="00AD0811"/>
    <w:rsid w:val="00AD6108"/>
    <w:rsid w:val="00AF4F62"/>
    <w:rsid w:val="00AF6994"/>
    <w:rsid w:val="00B511FF"/>
    <w:rsid w:val="00B63335"/>
    <w:rsid w:val="00BA2FD5"/>
    <w:rsid w:val="00BF4039"/>
    <w:rsid w:val="00C248BF"/>
    <w:rsid w:val="00C34D31"/>
    <w:rsid w:val="00C92F05"/>
    <w:rsid w:val="00C96617"/>
    <w:rsid w:val="00CA4B6A"/>
    <w:rsid w:val="00CB6D1E"/>
    <w:rsid w:val="00CC6585"/>
    <w:rsid w:val="00CF3D8B"/>
    <w:rsid w:val="00D0205F"/>
    <w:rsid w:val="00D0522D"/>
    <w:rsid w:val="00D15CDB"/>
    <w:rsid w:val="00D46E64"/>
    <w:rsid w:val="00D765F2"/>
    <w:rsid w:val="00DE7A4C"/>
    <w:rsid w:val="00E15CEF"/>
    <w:rsid w:val="00E247F9"/>
    <w:rsid w:val="00EE31B6"/>
    <w:rsid w:val="00F20982"/>
    <w:rsid w:val="00F42B29"/>
    <w:rsid w:val="00F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Footer">
    <w:name w:val="footer"/>
    <w:basedOn w:val="Normal"/>
    <w:rsid w:val="00D15C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B"/>
  </w:style>
  <w:style w:type="character" w:styleId="Hyperlink">
    <w:name w:val="Hyperlink"/>
    <w:rsid w:val="005A62F0"/>
    <w:rPr>
      <w:color w:val="0000FF"/>
      <w:u w:val="single"/>
    </w:rPr>
  </w:style>
  <w:style w:type="character" w:styleId="FollowedHyperlink">
    <w:name w:val="FollowedHyperlink"/>
    <w:rsid w:val="00CF3D8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5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Footer">
    <w:name w:val="footer"/>
    <w:basedOn w:val="Normal"/>
    <w:rsid w:val="00D15C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B"/>
  </w:style>
  <w:style w:type="character" w:styleId="Hyperlink">
    <w:name w:val="Hyperlink"/>
    <w:rsid w:val="005A62F0"/>
    <w:rPr>
      <w:color w:val="0000FF"/>
      <w:u w:val="single"/>
    </w:rPr>
  </w:style>
  <w:style w:type="character" w:styleId="FollowedHyperlink">
    <w:name w:val="FollowedHyperlink"/>
    <w:rsid w:val="00CF3D8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.ssrn.com/sol3/papers.cfm?abstract_id=417868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cch.net/index_en.php?act=conventions.text&amp;cid=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CONSTITUTIONAL LAW</vt:lpstr>
    </vt:vector>
  </TitlesOfParts>
  <Company>Microsoft</Company>
  <LinksUpToDate>false</LinksUpToDate>
  <CharactersWithSpaces>2177</CharactersWithSpaces>
  <SharedDoc>false</SharedDoc>
  <HLinks>
    <vt:vector size="24" baseType="variant">
      <vt:variant>
        <vt:i4>2293810</vt:i4>
      </vt:variant>
      <vt:variant>
        <vt:i4>9</vt:i4>
      </vt:variant>
      <vt:variant>
        <vt:i4>0</vt:i4>
      </vt:variant>
      <vt:variant>
        <vt:i4>5</vt:i4>
      </vt:variant>
      <vt:variant>
        <vt:lpwstr>http://www.uniformlaws.org/ActSummary.aspx?title=Foreign-Country%20Money%20Judgments%20Recognition%20Act%20</vt:lpwstr>
      </vt:variant>
      <vt:variant>
        <vt:lpwstr/>
      </vt:variant>
      <vt:variant>
        <vt:i4>8126567</vt:i4>
      </vt:variant>
      <vt:variant>
        <vt:i4>6</vt:i4>
      </vt:variant>
      <vt:variant>
        <vt:i4>0</vt:i4>
      </vt:variant>
      <vt:variant>
        <vt:i4>5</vt:i4>
      </vt:variant>
      <vt:variant>
        <vt:lpwstr>http://www.uniformlaws.org/shared/docs/foreign country money judgments recognition/ufcmjra_final_05.pdf</vt:lpwstr>
      </vt:variant>
      <vt:variant>
        <vt:lpwstr/>
      </vt:variant>
      <vt:variant>
        <vt:i4>3080300</vt:i4>
      </vt:variant>
      <vt:variant>
        <vt:i4>3</vt:i4>
      </vt:variant>
      <vt:variant>
        <vt:i4>0</vt:i4>
      </vt:variant>
      <vt:variant>
        <vt:i4>5</vt:i4>
      </vt:variant>
      <vt:variant>
        <vt:lpwstr>http://www.uniformlaws.org/shared/docs/foreign money judgments recognition/ufmjra final act.pdf</vt:lpwstr>
      </vt:variant>
      <vt:variant>
        <vt:lpwstr/>
      </vt:variant>
      <vt:variant>
        <vt:i4>2555910</vt:i4>
      </vt:variant>
      <vt:variant>
        <vt:i4>0</vt:i4>
      </vt:variant>
      <vt:variant>
        <vt:i4>0</vt:i4>
      </vt:variant>
      <vt:variant>
        <vt:i4>5</vt:i4>
      </vt:variant>
      <vt:variant>
        <vt:lpwstr>http://www.hcch.net/index_en.php?act=conventions.text&amp;cid=82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CONSTITUTIONAL LAW</dc:title>
  <dc:creator>Michael Ramsey</dc:creator>
  <cp:lastModifiedBy>mramsey</cp:lastModifiedBy>
  <cp:revision>2</cp:revision>
  <cp:lastPrinted>2024-02-26T16:29:00Z</cp:lastPrinted>
  <dcterms:created xsi:type="dcterms:W3CDTF">2025-03-09T22:59:00Z</dcterms:created>
  <dcterms:modified xsi:type="dcterms:W3CDTF">2025-03-09T22:59:00Z</dcterms:modified>
</cp:coreProperties>
</file>